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0" w:type="dxa"/>
          <w:right w:w="0" w:type="dxa"/>
        </w:tblCellMar>
        <w:tblLook w:val="0000" w:firstRow="0" w:lastRow="0" w:firstColumn="0" w:lastColumn="0" w:noHBand="0" w:noVBand="0"/>
      </w:tblPr>
      <w:tblGrid>
        <w:gridCol w:w="2552"/>
        <w:gridCol w:w="283"/>
        <w:gridCol w:w="6379"/>
      </w:tblGrid>
      <w:tr w:rsidR="001B3D5D">
        <w:trPr>
          <w:cantSplit/>
          <w:trHeight w:hRule="exact" w:val="2400"/>
        </w:trPr>
        <w:tc>
          <w:tcPr>
            <w:tcW w:w="2552" w:type="dxa"/>
            <w:vAlign w:val="center"/>
          </w:tcPr>
          <w:p w:rsidR="001B3D5D" w:rsidRDefault="004D5502">
            <w:pPr>
              <w:pStyle w:val="DraftText"/>
              <w:rPr>
                <w:b/>
              </w:rPr>
            </w:pPr>
            <w:bookmarkStart w:id="0" w:name="_GoBack"/>
            <w:bookmarkEnd w:id="0"/>
            <w:r>
              <w:rPr>
                <w:b/>
              </w:rPr>
              <w:t xml:space="preserve"> </w:t>
            </w:r>
          </w:p>
        </w:tc>
        <w:tc>
          <w:tcPr>
            <w:tcW w:w="283" w:type="dxa"/>
          </w:tcPr>
          <w:p w:rsidR="001B3D5D" w:rsidRDefault="001B3D5D"/>
        </w:tc>
        <w:tc>
          <w:tcPr>
            <w:tcW w:w="6379" w:type="dxa"/>
            <w:vAlign w:val="center"/>
          </w:tcPr>
          <w:p w:rsidR="001B3D5D" w:rsidRDefault="001B3D5D"/>
          <w:p w:rsidR="001B3D5D" w:rsidRDefault="001B3D5D"/>
          <w:p w:rsidR="001B3D5D" w:rsidRDefault="001B3D5D"/>
          <w:p w:rsidR="001B3D5D" w:rsidRDefault="001B3D5D"/>
          <w:p w:rsidR="001B3D5D" w:rsidRDefault="001B3D5D"/>
        </w:tc>
      </w:tr>
      <w:tr w:rsidR="001B3D5D">
        <w:trPr>
          <w:cantSplit/>
        </w:trPr>
        <w:tc>
          <w:tcPr>
            <w:tcW w:w="2552" w:type="dxa"/>
            <w:tcBorders>
              <w:right w:val="single" w:sz="18" w:space="0" w:color="auto"/>
            </w:tcBorders>
          </w:tcPr>
          <w:p w:rsidR="001B3D5D" w:rsidRDefault="001B3D5D"/>
        </w:tc>
        <w:tc>
          <w:tcPr>
            <w:tcW w:w="283" w:type="dxa"/>
            <w:tcBorders>
              <w:left w:val="nil"/>
            </w:tcBorders>
          </w:tcPr>
          <w:p w:rsidR="001B3D5D" w:rsidRDefault="001B3D5D"/>
        </w:tc>
        <w:tc>
          <w:tcPr>
            <w:tcW w:w="6379" w:type="dxa"/>
          </w:tcPr>
          <w:p w:rsidR="001B3D5D" w:rsidRDefault="004D5502">
            <w:pPr>
              <w:pStyle w:val="CoverPageTitle"/>
            </w:pPr>
            <w:bookmarkStart w:id="1" w:name="bkdocname"/>
            <w:bookmarkStart w:id="2" w:name="bktitle"/>
            <w:bookmarkStart w:id="3" w:name="title"/>
            <w:r>
              <w:t xml:space="preserve">Standard Part A Warehouse Lease </w:t>
            </w:r>
            <w:bookmarkEnd w:id="1"/>
            <w:bookmarkEnd w:id="2"/>
            <w:bookmarkEnd w:id="3"/>
          </w:p>
        </w:tc>
      </w:tr>
      <w:tr w:rsidR="001B3D5D">
        <w:trPr>
          <w:cantSplit/>
        </w:trPr>
        <w:tc>
          <w:tcPr>
            <w:tcW w:w="2552" w:type="dxa"/>
            <w:tcBorders>
              <w:right w:val="single" w:sz="18" w:space="0" w:color="auto"/>
            </w:tcBorders>
          </w:tcPr>
          <w:p w:rsidR="001B3D5D" w:rsidRDefault="001B3D5D"/>
        </w:tc>
        <w:tc>
          <w:tcPr>
            <w:tcW w:w="283" w:type="dxa"/>
            <w:tcBorders>
              <w:left w:val="nil"/>
            </w:tcBorders>
          </w:tcPr>
          <w:p w:rsidR="001B3D5D" w:rsidRDefault="001B3D5D"/>
        </w:tc>
        <w:tc>
          <w:tcPr>
            <w:tcW w:w="6379" w:type="dxa"/>
          </w:tcPr>
          <w:p w:rsidR="001B3D5D" w:rsidRDefault="004D5502">
            <w:pPr>
              <w:pStyle w:val="CoverPageDetails"/>
            </w:pPr>
            <w:bookmarkStart w:id="4" w:name="details"/>
            <w:r>
              <w:t>Warehouse #premises#, Wholesale Fruit and Vegetable Market</w:t>
            </w:r>
            <w:bookmarkEnd w:id="4"/>
          </w:p>
        </w:tc>
      </w:tr>
      <w:tr w:rsidR="001B3D5D">
        <w:trPr>
          <w:cantSplit/>
          <w:trHeight w:hRule="exact" w:val="240"/>
        </w:trPr>
        <w:tc>
          <w:tcPr>
            <w:tcW w:w="2552" w:type="dxa"/>
            <w:tcBorders>
              <w:right w:val="single" w:sz="18" w:space="0" w:color="auto"/>
            </w:tcBorders>
          </w:tcPr>
          <w:p w:rsidR="001B3D5D" w:rsidRDefault="001B3D5D"/>
        </w:tc>
        <w:tc>
          <w:tcPr>
            <w:tcW w:w="283" w:type="dxa"/>
            <w:tcBorders>
              <w:left w:val="nil"/>
            </w:tcBorders>
          </w:tcPr>
          <w:p w:rsidR="001B3D5D" w:rsidRDefault="001B3D5D"/>
        </w:tc>
        <w:tc>
          <w:tcPr>
            <w:tcW w:w="6379" w:type="dxa"/>
            <w:tcBorders>
              <w:top w:val="single" w:sz="4" w:space="0" w:color="auto"/>
            </w:tcBorders>
          </w:tcPr>
          <w:p w:rsidR="001B3D5D" w:rsidRDefault="001B3D5D"/>
        </w:tc>
      </w:tr>
      <w:tr w:rsidR="001B3D5D">
        <w:trPr>
          <w:cantSplit/>
        </w:trPr>
        <w:tc>
          <w:tcPr>
            <w:tcW w:w="2552" w:type="dxa"/>
            <w:tcBorders>
              <w:right w:val="single" w:sz="18" w:space="0" w:color="auto"/>
            </w:tcBorders>
          </w:tcPr>
          <w:p w:rsidR="001B3D5D" w:rsidRDefault="001B3D5D"/>
        </w:tc>
        <w:tc>
          <w:tcPr>
            <w:tcW w:w="283" w:type="dxa"/>
            <w:tcBorders>
              <w:left w:val="nil"/>
            </w:tcBorders>
          </w:tcPr>
          <w:p w:rsidR="001B3D5D" w:rsidRDefault="001B3D5D"/>
        </w:tc>
        <w:tc>
          <w:tcPr>
            <w:tcW w:w="6379" w:type="dxa"/>
          </w:tcPr>
          <w:p w:rsidR="001B3D5D" w:rsidRDefault="004D5502">
            <w:pPr>
              <w:pStyle w:val="CoverPageNames"/>
            </w:pPr>
            <w:r>
              <w:t>Melbourne Market Authority (</w:t>
            </w:r>
            <w:bookmarkStart w:id="5" w:name="bkSFName1Cov"/>
            <w:r>
              <w:rPr>
                <w:b/>
              </w:rPr>
              <w:t>Landlord</w:t>
            </w:r>
            <w:bookmarkEnd w:id="5"/>
            <w:r>
              <w:t>)</w:t>
            </w:r>
          </w:p>
          <w:p w:rsidR="001B3D5D" w:rsidRDefault="004D5502">
            <w:pPr>
              <w:pStyle w:val="CoverPageNames"/>
            </w:pPr>
            <w:r>
              <w:t>#tenant name# (</w:t>
            </w:r>
            <w:bookmarkStart w:id="6" w:name="bkSFName2Cov"/>
            <w:r>
              <w:rPr>
                <w:b/>
              </w:rPr>
              <w:t>Tenant</w:t>
            </w:r>
            <w:bookmarkEnd w:id="6"/>
            <w:r>
              <w:t>)</w:t>
            </w:r>
            <w:bookmarkStart w:id="7" w:name="bkName3Lge"/>
            <w:bookmarkEnd w:id="7"/>
            <w:r>
              <w:t xml:space="preserve"> </w:t>
            </w:r>
            <w:bookmarkStart w:id="8" w:name="bkSFName3Cov"/>
            <w:bookmarkStart w:id="9" w:name="bkName4Lge"/>
            <w:bookmarkEnd w:id="8"/>
            <w:bookmarkEnd w:id="9"/>
            <w:r>
              <w:t xml:space="preserve"> </w:t>
            </w:r>
            <w:bookmarkStart w:id="10" w:name="bkSFName4Cov"/>
            <w:bookmarkEnd w:id="10"/>
          </w:p>
          <w:p w:rsidR="001B3D5D" w:rsidRDefault="001B3D5D">
            <w:pPr>
              <w:pStyle w:val="CoverPageNames"/>
            </w:pPr>
          </w:p>
        </w:tc>
      </w:tr>
    </w:tbl>
    <w:p w:rsidR="001B3D5D" w:rsidRDefault="001B3D5D">
      <w:pPr>
        <w:spacing w:after="120" w:line="240" w:lineRule="auto"/>
        <w:rPr>
          <w:rFonts w:ascii="tim" w:hAnsi="tim"/>
          <w:sz w:val="18"/>
          <w:highlight w:val="yellow"/>
        </w:rPr>
      </w:pPr>
    </w:p>
    <w:p w:rsidR="001B3D5D" w:rsidRDefault="001B3D5D">
      <w:pPr>
        <w:pStyle w:val="MEBasic1"/>
        <w:numPr>
          <w:ilvl w:val="0"/>
          <w:numId w:val="0"/>
        </w:numPr>
        <w:ind w:left="680"/>
        <w:rPr>
          <w:highlight w:val="yellow"/>
        </w:rPr>
      </w:pPr>
    </w:p>
    <w:p w:rsidR="001B3D5D" w:rsidRDefault="001B3D5D">
      <w:pPr>
        <w:sectPr w:rsidR="001B3D5D">
          <w:headerReference w:type="even" r:id="rId10"/>
          <w:headerReference w:type="default" r:id="rId11"/>
          <w:footerReference w:type="even" r:id="rId12"/>
          <w:footerReference w:type="default" r:id="rId13"/>
          <w:headerReference w:type="first" r:id="rId14"/>
          <w:footerReference w:type="first" r:id="rId15"/>
          <w:pgSz w:w="11907" w:h="16840" w:code="9"/>
          <w:pgMar w:top="1134" w:right="1134" w:bottom="1134" w:left="1418" w:header="567" w:footer="567" w:gutter="0"/>
          <w:cols w:space="720"/>
          <w:titlePg/>
          <w:docGrid w:linePitch="299"/>
        </w:sectPr>
      </w:pPr>
    </w:p>
    <w:p w:rsidR="001B3D5D" w:rsidRDefault="004D5502">
      <w:pPr>
        <w:pStyle w:val="ContentsTitle"/>
      </w:pPr>
      <w:r>
        <w:lastRenderedPageBreak/>
        <w:t xml:space="preserve">Standard Part A Warehouse Lease </w:t>
      </w:r>
    </w:p>
    <w:p w:rsidR="001B3D5D" w:rsidRDefault="004D5502">
      <w:pPr>
        <w:pStyle w:val="ContentsDetails"/>
        <w:spacing w:after="0"/>
      </w:pPr>
      <w:bookmarkStart w:id="15" w:name="bkTransactionID2"/>
      <w:r>
        <w:t xml:space="preserve">Warehouse #premises#, Wholesale Fruit and Vegetable Market </w:t>
      </w:r>
      <w:bookmarkEnd w:id="15"/>
    </w:p>
    <w:tbl>
      <w:tblPr>
        <w:tblW w:w="0" w:type="auto"/>
        <w:tblLayout w:type="fixed"/>
        <w:tblCellMar>
          <w:left w:w="0" w:type="dxa"/>
          <w:right w:w="0" w:type="dxa"/>
        </w:tblCellMar>
        <w:tblLook w:val="0000" w:firstRow="0" w:lastRow="0" w:firstColumn="0" w:lastColumn="0" w:noHBand="0" w:noVBand="0"/>
      </w:tblPr>
      <w:tblGrid>
        <w:gridCol w:w="9356"/>
      </w:tblGrid>
      <w:tr w:rsidR="001B3D5D">
        <w:trPr>
          <w:cantSplit/>
          <w:trHeight w:hRule="exact" w:val="20"/>
        </w:trPr>
        <w:tc>
          <w:tcPr>
            <w:tcW w:w="9356" w:type="dxa"/>
            <w:tcBorders>
              <w:bottom w:val="single" w:sz="4" w:space="0" w:color="auto"/>
            </w:tcBorders>
          </w:tcPr>
          <w:p w:rsidR="001B3D5D" w:rsidRDefault="004D5502">
            <w:r>
              <w:t>~*~</w:t>
            </w:r>
          </w:p>
        </w:tc>
      </w:tr>
    </w:tbl>
    <w:bookmarkStart w:id="16" w:name="_bkTOC"/>
    <w:bookmarkEnd w:id="16"/>
    <w:p w:rsidR="001B3D5D" w:rsidRDefault="004D5502">
      <w:pPr>
        <w:pStyle w:val="TOC1"/>
        <w:rPr>
          <w:rFonts w:asciiTheme="minorHAnsi" w:eastAsiaTheme="minorEastAsia" w:hAnsiTheme="minorHAnsi" w:cstheme="minorBidi"/>
          <w:b w:val="0"/>
          <w:bCs w:val="0"/>
          <w:noProof/>
          <w:w w:val="100"/>
          <w:sz w:val="22"/>
          <w:szCs w:val="22"/>
          <w:lang w:eastAsia="en-AU" w:bidi="ar-SA"/>
        </w:rPr>
      </w:pPr>
      <w:r>
        <w:fldChar w:fldCharType="begin"/>
      </w:r>
      <w:r>
        <w:instrText xml:space="preserve"> TOC \f \t "ME Chapter heading,1,ME Legal 1,2,ME Legal 2,3,Schedule L1,2" </w:instrText>
      </w:r>
      <w:r>
        <w:fldChar w:fldCharType="separate"/>
      </w:r>
      <w:r>
        <w:rPr>
          <w:noProof/>
        </w:rPr>
        <w:t>Information table</w:t>
      </w:r>
      <w:r>
        <w:rPr>
          <w:noProof/>
        </w:rPr>
        <w:tab/>
      </w:r>
      <w:r>
        <w:rPr>
          <w:noProof/>
        </w:rPr>
        <w:fldChar w:fldCharType="begin"/>
      </w:r>
      <w:r>
        <w:rPr>
          <w:noProof/>
        </w:rPr>
        <w:instrText xml:space="preserve"> PAGEREF _Toc411870594 \h </w:instrText>
      </w:r>
      <w:r>
        <w:rPr>
          <w:noProof/>
        </w:rPr>
      </w:r>
      <w:r>
        <w:rPr>
          <w:noProof/>
        </w:rPr>
        <w:fldChar w:fldCharType="separate"/>
      </w:r>
      <w:r>
        <w:rPr>
          <w:noProof/>
        </w:rPr>
        <w:t>6</w:t>
      </w:r>
      <w:r>
        <w:rPr>
          <w:noProof/>
        </w:rPr>
        <w:fldChar w:fldCharType="end"/>
      </w:r>
    </w:p>
    <w:p w:rsidR="001B3D5D" w:rsidRDefault="004D5502">
      <w:pPr>
        <w:pStyle w:val="TOC1"/>
        <w:rPr>
          <w:rFonts w:asciiTheme="minorHAnsi" w:eastAsiaTheme="minorEastAsia" w:hAnsiTheme="minorHAnsi" w:cstheme="minorBidi"/>
          <w:b w:val="0"/>
          <w:bCs w:val="0"/>
          <w:noProof/>
          <w:w w:val="100"/>
          <w:sz w:val="22"/>
          <w:szCs w:val="22"/>
          <w:lang w:eastAsia="en-AU" w:bidi="ar-SA"/>
        </w:rPr>
      </w:pPr>
      <w:r>
        <w:rPr>
          <w:noProof/>
        </w:rPr>
        <w:t>Agreed terms</w:t>
      </w:r>
      <w:r>
        <w:rPr>
          <w:noProof/>
        </w:rPr>
        <w:tab/>
      </w:r>
      <w:r>
        <w:rPr>
          <w:noProof/>
        </w:rPr>
        <w:fldChar w:fldCharType="begin"/>
      </w:r>
      <w:r>
        <w:rPr>
          <w:noProof/>
        </w:rPr>
        <w:instrText xml:space="preserve"> PAGEREF _Toc411870595 \h </w:instrText>
      </w:r>
      <w:r>
        <w:rPr>
          <w:noProof/>
        </w:rPr>
      </w:r>
      <w:r>
        <w:rPr>
          <w:noProof/>
        </w:rPr>
        <w:fldChar w:fldCharType="separate"/>
      </w:r>
      <w:r>
        <w:rPr>
          <w:noProof/>
        </w:rPr>
        <w:t>11</w:t>
      </w:r>
      <w:r>
        <w:rPr>
          <w:noProof/>
        </w:rPr>
        <w:fldChar w:fldCharType="end"/>
      </w:r>
    </w:p>
    <w:p w:rsidR="001B3D5D" w:rsidRDefault="004D5502">
      <w:pPr>
        <w:pStyle w:val="TOC1"/>
        <w:rPr>
          <w:rFonts w:asciiTheme="minorHAnsi" w:eastAsiaTheme="minorEastAsia" w:hAnsiTheme="minorHAnsi" w:cstheme="minorBidi"/>
          <w:b w:val="0"/>
          <w:bCs w:val="0"/>
          <w:noProof/>
          <w:w w:val="100"/>
          <w:sz w:val="22"/>
          <w:szCs w:val="22"/>
          <w:lang w:eastAsia="en-AU" w:bidi="ar-SA"/>
        </w:rPr>
      </w:pPr>
      <w:r>
        <w:rPr>
          <w:noProof/>
        </w:rPr>
        <w:t>Agreed terms</w:t>
      </w:r>
      <w:r>
        <w:rPr>
          <w:noProof/>
        </w:rPr>
        <w:tab/>
      </w:r>
      <w:r>
        <w:rPr>
          <w:noProof/>
        </w:rPr>
        <w:fldChar w:fldCharType="begin"/>
      </w:r>
      <w:r>
        <w:rPr>
          <w:noProof/>
        </w:rPr>
        <w:instrText xml:space="preserve"> PAGEREF _Toc411870596 \h </w:instrText>
      </w:r>
      <w:r>
        <w:rPr>
          <w:noProof/>
        </w:rPr>
      </w:r>
      <w:r>
        <w:rPr>
          <w:noProof/>
        </w:rPr>
        <w:fldChar w:fldCharType="separate"/>
      </w:r>
      <w:r>
        <w:rPr>
          <w:noProof/>
        </w:rPr>
        <w:t>11</w:t>
      </w:r>
      <w:r>
        <w:rPr>
          <w:noProof/>
        </w:rPr>
        <w:fldChar w:fldCharType="end"/>
      </w:r>
    </w:p>
    <w:p w:rsidR="001B3D5D" w:rsidRDefault="004D5502">
      <w:pPr>
        <w:pStyle w:val="TOC2"/>
        <w:rPr>
          <w:rFonts w:asciiTheme="minorHAnsi" w:eastAsiaTheme="minorEastAsia" w:hAnsiTheme="minorHAnsi" w:cstheme="minorBidi"/>
          <w:b w:val="0"/>
          <w:bCs w:val="0"/>
          <w:noProof/>
          <w:w w:val="100"/>
          <w:sz w:val="22"/>
          <w:szCs w:val="22"/>
          <w:lang w:eastAsia="en-AU" w:bidi="ar-SA"/>
        </w:rPr>
      </w:pPr>
      <w:r>
        <w:rPr>
          <w:noProof/>
        </w:rPr>
        <w:t>1.</w:t>
      </w:r>
      <w:r>
        <w:rPr>
          <w:rFonts w:asciiTheme="minorHAnsi" w:eastAsiaTheme="minorEastAsia" w:hAnsiTheme="minorHAnsi" w:cstheme="minorBidi"/>
          <w:b w:val="0"/>
          <w:bCs w:val="0"/>
          <w:noProof/>
          <w:w w:val="100"/>
          <w:sz w:val="22"/>
          <w:szCs w:val="22"/>
          <w:lang w:eastAsia="en-AU" w:bidi="ar-SA"/>
        </w:rPr>
        <w:tab/>
      </w:r>
      <w:r>
        <w:rPr>
          <w:noProof/>
        </w:rPr>
        <w:t>Defined terms &amp; interpretation</w:t>
      </w:r>
      <w:r>
        <w:rPr>
          <w:noProof/>
        </w:rPr>
        <w:tab/>
      </w:r>
      <w:r>
        <w:rPr>
          <w:noProof/>
        </w:rPr>
        <w:fldChar w:fldCharType="begin"/>
      </w:r>
      <w:r>
        <w:rPr>
          <w:noProof/>
        </w:rPr>
        <w:instrText xml:space="preserve"> PAGEREF _Toc411870597 \h </w:instrText>
      </w:r>
      <w:r>
        <w:rPr>
          <w:noProof/>
        </w:rPr>
      </w:r>
      <w:r>
        <w:rPr>
          <w:noProof/>
        </w:rPr>
        <w:fldChar w:fldCharType="separate"/>
      </w:r>
      <w:r>
        <w:rPr>
          <w:noProof/>
        </w:rPr>
        <w:t>11</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1.1</w:t>
      </w:r>
      <w:r>
        <w:rPr>
          <w:rFonts w:asciiTheme="minorHAnsi" w:eastAsiaTheme="minorEastAsia" w:hAnsiTheme="minorHAnsi" w:cstheme="minorBidi"/>
          <w:noProof/>
          <w:w w:val="100"/>
          <w:lang w:eastAsia="en-AU" w:bidi="ar-SA"/>
        </w:rPr>
        <w:tab/>
      </w:r>
      <w:r>
        <w:rPr>
          <w:noProof/>
        </w:rPr>
        <w:t>Defined terms</w:t>
      </w:r>
      <w:r>
        <w:rPr>
          <w:noProof/>
        </w:rPr>
        <w:tab/>
      </w:r>
      <w:r>
        <w:rPr>
          <w:noProof/>
        </w:rPr>
        <w:fldChar w:fldCharType="begin"/>
      </w:r>
      <w:r>
        <w:rPr>
          <w:noProof/>
        </w:rPr>
        <w:instrText xml:space="preserve"> PAGEREF _Toc411870598 \h </w:instrText>
      </w:r>
      <w:r>
        <w:rPr>
          <w:noProof/>
        </w:rPr>
      </w:r>
      <w:r>
        <w:rPr>
          <w:noProof/>
        </w:rPr>
        <w:fldChar w:fldCharType="separate"/>
      </w:r>
      <w:r>
        <w:rPr>
          <w:noProof/>
        </w:rPr>
        <w:t>11</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1.2</w:t>
      </w:r>
      <w:r>
        <w:rPr>
          <w:rFonts w:asciiTheme="minorHAnsi" w:eastAsiaTheme="minorEastAsia" w:hAnsiTheme="minorHAnsi" w:cstheme="minorBidi"/>
          <w:noProof/>
          <w:w w:val="100"/>
          <w:lang w:eastAsia="en-AU" w:bidi="ar-SA"/>
        </w:rPr>
        <w:tab/>
      </w:r>
      <w:r>
        <w:rPr>
          <w:noProof/>
        </w:rPr>
        <w:t>Interpretat</w:t>
      </w:r>
      <w:r>
        <w:rPr>
          <w:noProof/>
        </w:rPr>
        <w:t>ion</w:t>
      </w:r>
      <w:r>
        <w:rPr>
          <w:noProof/>
        </w:rPr>
        <w:tab/>
      </w:r>
      <w:r>
        <w:rPr>
          <w:noProof/>
        </w:rPr>
        <w:fldChar w:fldCharType="begin"/>
      </w:r>
      <w:r>
        <w:rPr>
          <w:noProof/>
        </w:rPr>
        <w:instrText xml:space="preserve"> PAGEREF _Toc411870599 \h </w:instrText>
      </w:r>
      <w:r>
        <w:rPr>
          <w:noProof/>
        </w:rPr>
      </w:r>
      <w:r>
        <w:rPr>
          <w:noProof/>
        </w:rPr>
        <w:fldChar w:fldCharType="separate"/>
      </w:r>
      <w:r>
        <w:rPr>
          <w:noProof/>
        </w:rPr>
        <w:t>15</w:t>
      </w:r>
      <w:r>
        <w:rPr>
          <w:noProof/>
        </w:rPr>
        <w:fldChar w:fldCharType="end"/>
      </w:r>
    </w:p>
    <w:p w:rsidR="001B3D5D" w:rsidRDefault="004D5502">
      <w:pPr>
        <w:pStyle w:val="TOC2"/>
        <w:rPr>
          <w:rFonts w:asciiTheme="minorHAnsi" w:eastAsiaTheme="minorEastAsia" w:hAnsiTheme="minorHAnsi" w:cstheme="minorBidi"/>
          <w:b w:val="0"/>
          <w:bCs w:val="0"/>
          <w:noProof/>
          <w:w w:val="100"/>
          <w:sz w:val="22"/>
          <w:szCs w:val="22"/>
          <w:lang w:eastAsia="en-AU" w:bidi="ar-SA"/>
        </w:rPr>
      </w:pPr>
      <w:r>
        <w:rPr>
          <w:noProof/>
        </w:rPr>
        <w:t>2.</w:t>
      </w:r>
      <w:r>
        <w:rPr>
          <w:rFonts w:asciiTheme="minorHAnsi" w:eastAsiaTheme="minorEastAsia" w:hAnsiTheme="minorHAnsi" w:cstheme="minorBidi"/>
          <w:b w:val="0"/>
          <w:bCs w:val="0"/>
          <w:noProof/>
          <w:w w:val="100"/>
          <w:sz w:val="22"/>
          <w:szCs w:val="22"/>
          <w:lang w:eastAsia="en-AU" w:bidi="ar-SA"/>
        </w:rPr>
        <w:tab/>
      </w:r>
      <w:r>
        <w:rPr>
          <w:noProof/>
        </w:rPr>
        <w:t>Grant</w:t>
      </w:r>
      <w:r>
        <w:rPr>
          <w:noProof/>
        </w:rPr>
        <w:tab/>
      </w:r>
      <w:r>
        <w:rPr>
          <w:noProof/>
        </w:rPr>
        <w:fldChar w:fldCharType="begin"/>
      </w:r>
      <w:r>
        <w:rPr>
          <w:noProof/>
        </w:rPr>
        <w:instrText xml:space="preserve"> PAGEREF _Toc411870600 \h </w:instrText>
      </w:r>
      <w:r>
        <w:rPr>
          <w:noProof/>
        </w:rPr>
      </w:r>
      <w:r>
        <w:rPr>
          <w:noProof/>
        </w:rPr>
        <w:fldChar w:fldCharType="separate"/>
      </w:r>
      <w:r>
        <w:rPr>
          <w:noProof/>
        </w:rPr>
        <w:t>15</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2.1</w:t>
      </w:r>
      <w:r>
        <w:rPr>
          <w:rFonts w:asciiTheme="minorHAnsi" w:eastAsiaTheme="minorEastAsia" w:hAnsiTheme="minorHAnsi" w:cstheme="minorBidi"/>
          <w:noProof/>
          <w:w w:val="100"/>
          <w:lang w:eastAsia="en-AU" w:bidi="ar-SA"/>
        </w:rPr>
        <w:tab/>
      </w:r>
      <w:r>
        <w:rPr>
          <w:noProof/>
        </w:rPr>
        <w:t>Grant of lease</w:t>
      </w:r>
      <w:r>
        <w:rPr>
          <w:noProof/>
        </w:rPr>
        <w:tab/>
      </w:r>
      <w:r>
        <w:rPr>
          <w:noProof/>
        </w:rPr>
        <w:fldChar w:fldCharType="begin"/>
      </w:r>
      <w:r>
        <w:rPr>
          <w:noProof/>
        </w:rPr>
        <w:instrText xml:space="preserve"> PAGEREF _Toc411870601 \h </w:instrText>
      </w:r>
      <w:r>
        <w:rPr>
          <w:noProof/>
        </w:rPr>
      </w:r>
      <w:r>
        <w:rPr>
          <w:noProof/>
        </w:rPr>
        <w:fldChar w:fldCharType="separate"/>
      </w:r>
      <w:r>
        <w:rPr>
          <w:noProof/>
        </w:rPr>
        <w:t>15</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2.2</w:t>
      </w:r>
      <w:r>
        <w:rPr>
          <w:rFonts w:asciiTheme="minorHAnsi" w:eastAsiaTheme="minorEastAsia" w:hAnsiTheme="minorHAnsi" w:cstheme="minorBidi"/>
          <w:noProof/>
          <w:w w:val="100"/>
          <w:lang w:eastAsia="en-AU" w:bidi="ar-SA"/>
        </w:rPr>
        <w:tab/>
      </w:r>
      <w:r>
        <w:rPr>
          <w:noProof/>
        </w:rPr>
        <w:t>Landlord's reservations</w:t>
      </w:r>
      <w:r>
        <w:rPr>
          <w:noProof/>
        </w:rPr>
        <w:tab/>
      </w:r>
      <w:r>
        <w:rPr>
          <w:noProof/>
        </w:rPr>
        <w:fldChar w:fldCharType="begin"/>
      </w:r>
      <w:r>
        <w:rPr>
          <w:noProof/>
        </w:rPr>
        <w:instrText xml:space="preserve"> PAGEREF _Toc411870602 \h </w:instrText>
      </w:r>
      <w:r>
        <w:rPr>
          <w:noProof/>
        </w:rPr>
      </w:r>
      <w:r>
        <w:rPr>
          <w:noProof/>
        </w:rPr>
        <w:fldChar w:fldCharType="separate"/>
      </w:r>
      <w:r>
        <w:rPr>
          <w:noProof/>
        </w:rPr>
        <w:t>16</w:t>
      </w:r>
      <w:r>
        <w:rPr>
          <w:noProof/>
        </w:rPr>
        <w:fldChar w:fldCharType="end"/>
      </w:r>
    </w:p>
    <w:p w:rsidR="001B3D5D" w:rsidRDefault="004D5502">
      <w:pPr>
        <w:pStyle w:val="TOC2"/>
        <w:rPr>
          <w:rFonts w:asciiTheme="minorHAnsi" w:eastAsiaTheme="minorEastAsia" w:hAnsiTheme="minorHAnsi" w:cstheme="minorBidi"/>
          <w:b w:val="0"/>
          <w:bCs w:val="0"/>
          <w:noProof/>
          <w:w w:val="100"/>
          <w:sz w:val="22"/>
          <w:szCs w:val="22"/>
          <w:lang w:eastAsia="en-AU" w:bidi="ar-SA"/>
        </w:rPr>
      </w:pPr>
      <w:r>
        <w:rPr>
          <w:noProof/>
        </w:rPr>
        <w:t>3.</w:t>
      </w:r>
      <w:r>
        <w:rPr>
          <w:rFonts w:asciiTheme="minorHAnsi" w:eastAsiaTheme="minorEastAsia" w:hAnsiTheme="minorHAnsi" w:cstheme="minorBidi"/>
          <w:b w:val="0"/>
          <w:bCs w:val="0"/>
          <w:noProof/>
          <w:w w:val="100"/>
          <w:sz w:val="22"/>
          <w:szCs w:val="22"/>
          <w:lang w:eastAsia="en-AU" w:bidi="ar-SA"/>
        </w:rPr>
        <w:tab/>
      </w:r>
      <w:r>
        <w:rPr>
          <w:noProof/>
        </w:rPr>
        <w:t>No warranty as to use</w:t>
      </w:r>
      <w:r>
        <w:rPr>
          <w:noProof/>
        </w:rPr>
        <w:tab/>
      </w:r>
      <w:r>
        <w:rPr>
          <w:noProof/>
        </w:rPr>
        <w:fldChar w:fldCharType="begin"/>
      </w:r>
      <w:r>
        <w:rPr>
          <w:noProof/>
        </w:rPr>
        <w:instrText xml:space="preserve"> PAGEREF _Toc411870603 \h </w:instrText>
      </w:r>
      <w:r>
        <w:rPr>
          <w:noProof/>
        </w:rPr>
      </w:r>
      <w:r>
        <w:rPr>
          <w:noProof/>
        </w:rPr>
        <w:fldChar w:fldCharType="separate"/>
      </w:r>
      <w:r>
        <w:rPr>
          <w:noProof/>
        </w:rPr>
        <w:t>16</w:t>
      </w:r>
      <w:r>
        <w:rPr>
          <w:noProof/>
        </w:rPr>
        <w:fldChar w:fldCharType="end"/>
      </w:r>
    </w:p>
    <w:p w:rsidR="001B3D5D" w:rsidRDefault="004D5502">
      <w:pPr>
        <w:pStyle w:val="TOC2"/>
        <w:rPr>
          <w:rFonts w:asciiTheme="minorHAnsi" w:eastAsiaTheme="minorEastAsia" w:hAnsiTheme="minorHAnsi" w:cstheme="minorBidi"/>
          <w:b w:val="0"/>
          <w:bCs w:val="0"/>
          <w:noProof/>
          <w:w w:val="100"/>
          <w:sz w:val="22"/>
          <w:szCs w:val="22"/>
          <w:lang w:eastAsia="en-AU" w:bidi="ar-SA"/>
        </w:rPr>
      </w:pPr>
      <w:r>
        <w:rPr>
          <w:noProof/>
        </w:rPr>
        <w:t>4.</w:t>
      </w:r>
      <w:r>
        <w:rPr>
          <w:rFonts w:asciiTheme="minorHAnsi" w:eastAsiaTheme="minorEastAsia" w:hAnsiTheme="minorHAnsi" w:cstheme="minorBidi"/>
          <w:b w:val="0"/>
          <w:bCs w:val="0"/>
          <w:noProof/>
          <w:w w:val="100"/>
          <w:sz w:val="22"/>
          <w:szCs w:val="22"/>
          <w:lang w:eastAsia="en-AU" w:bidi="ar-SA"/>
        </w:rPr>
        <w:tab/>
      </w:r>
      <w:r>
        <w:rPr>
          <w:noProof/>
        </w:rPr>
        <w:t>Term of Lease and holding over</w:t>
      </w:r>
      <w:r>
        <w:rPr>
          <w:noProof/>
        </w:rPr>
        <w:tab/>
      </w:r>
      <w:r>
        <w:rPr>
          <w:noProof/>
        </w:rPr>
        <w:fldChar w:fldCharType="begin"/>
      </w:r>
      <w:r>
        <w:rPr>
          <w:noProof/>
        </w:rPr>
        <w:instrText xml:space="preserve"> PAGEREF _Toc411870604 \h </w:instrText>
      </w:r>
      <w:r>
        <w:rPr>
          <w:noProof/>
        </w:rPr>
      </w:r>
      <w:r>
        <w:rPr>
          <w:noProof/>
        </w:rPr>
        <w:fldChar w:fldCharType="separate"/>
      </w:r>
      <w:r>
        <w:rPr>
          <w:noProof/>
        </w:rPr>
        <w:t>16</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4.1</w:t>
      </w:r>
      <w:r>
        <w:rPr>
          <w:rFonts w:asciiTheme="minorHAnsi" w:eastAsiaTheme="minorEastAsia" w:hAnsiTheme="minorHAnsi" w:cstheme="minorBidi"/>
          <w:noProof/>
          <w:w w:val="100"/>
          <w:lang w:eastAsia="en-AU" w:bidi="ar-SA"/>
        </w:rPr>
        <w:tab/>
      </w:r>
      <w:r>
        <w:rPr>
          <w:noProof/>
        </w:rPr>
        <w:t>Term of this lease</w:t>
      </w:r>
      <w:r>
        <w:rPr>
          <w:noProof/>
        </w:rPr>
        <w:tab/>
      </w:r>
      <w:r>
        <w:rPr>
          <w:noProof/>
        </w:rPr>
        <w:fldChar w:fldCharType="begin"/>
      </w:r>
      <w:r>
        <w:rPr>
          <w:noProof/>
        </w:rPr>
        <w:instrText xml:space="preserve"> PAGEREF _Toc411870605 \h </w:instrText>
      </w:r>
      <w:r>
        <w:rPr>
          <w:noProof/>
        </w:rPr>
      </w:r>
      <w:r>
        <w:rPr>
          <w:noProof/>
        </w:rPr>
        <w:fldChar w:fldCharType="separate"/>
      </w:r>
      <w:r>
        <w:rPr>
          <w:noProof/>
        </w:rPr>
        <w:t>16</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4.2</w:t>
      </w:r>
      <w:r>
        <w:rPr>
          <w:rFonts w:asciiTheme="minorHAnsi" w:eastAsiaTheme="minorEastAsia" w:hAnsiTheme="minorHAnsi" w:cstheme="minorBidi"/>
          <w:noProof/>
          <w:w w:val="100"/>
          <w:lang w:eastAsia="en-AU" w:bidi="ar-SA"/>
        </w:rPr>
        <w:tab/>
      </w:r>
      <w:r>
        <w:rPr>
          <w:noProof/>
        </w:rPr>
        <w:t>Holding over</w:t>
      </w:r>
      <w:r>
        <w:rPr>
          <w:noProof/>
        </w:rPr>
        <w:tab/>
      </w:r>
      <w:r>
        <w:rPr>
          <w:noProof/>
        </w:rPr>
        <w:fldChar w:fldCharType="begin"/>
      </w:r>
      <w:r>
        <w:rPr>
          <w:noProof/>
        </w:rPr>
        <w:instrText xml:space="preserve"> PAGEREF _Toc411870606 \h </w:instrText>
      </w:r>
      <w:r>
        <w:rPr>
          <w:noProof/>
        </w:rPr>
      </w:r>
      <w:r>
        <w:rPr>
          <w:noProof/>
        </w:rPr>
        <w:fldChar w:fldCharType="separate"/>
      </w:r>
      <w:r>
        <w:rPr>
          <w:noProof/>
        </w:rPr>
        <w:t>17</w:t>
      </w:r>
      <w:r>
        <w:rPr>
          <w:noProof/>
        </w:rPr>
        <w:fldChar w:fldCharType="end"/>
      </w:r>
    </w:p>
    <w:p w:rsidR="001B3D5D" w:rsidRDefault="004D5502">
      <w:pPr>
        <w:pStyle w:val="TOC2"/>
        <w:rPr>
          <w:rFonts w:asciiTheme="minorHAnsi" w:eastAsiaTheme="minorEastAsia" w:hAnsiTheme="minorHAnsi" w:cstheme="minorBidi"/>
          <w:b w:val="0"/>
          <w:bCs w:val="0"/>
          <w:noProof/>
          <w:w w:val="100"/>
          <w:sz w:val="22"/>
          <w:szCs w:val="22"/>
          <w:lang w:eastAsia="en-AU" w:bidi="ar-SA"/>
        </w:rPr>
      </w:pPr>
      <w:r>
        <w:rPr>
          <w:noProof/>
        </w:rPr>
        <w:t>5.</w:t>
      </w:r>
      <w:r>
        <w:rPr>
          <w:rFonts w:asciiTheme="minorHAnsi" w:eastAsiaTheme="minorEastAsia" w:hAnsiTheme="minorHAnsi" w:cstheme="minorBidi"/>
          <w:b w:val="0"/>
          <w:bCs w:val="0"/>
          <w:noProof/>
          <w:w w:val="100"/>
          <w:sz w:val="22"/>
          <w:szCs w:val="22"/>
          <w:lang w:eastAsia="en-AU" w:bidi="ar-SA"/>
        </w:rPr>
        <w:tab/>
      </w:r>
      <w:r>
        <w:rPr>
          <w:noProof/>
        </w:rPr>
        <w:t>Tenant's financial obligations</w:t>
      </w:r>
      <w:r>
        <w:rPr>
          <w:noProof/>
        </w:rPr>
        <w:tab/>
      </w:r>
      <w:r>
        <w:rPr>
          <w:noProof/>
        </w:rPr>
        <w:fldChar w:fldCharType="begin"/>
      </w:r>
      <w:r>
        <w:rPr>
          <w:noProof/>
        </w:rPr>
        <w:instrText xml:space="preserve"> PAGEREF _Toc411870607 \h </w:instrText>
      </w:r>
      <w:r>
        <w:rPr>
          <w:noProof/>
        </w:rPr>
      </w:r>
      <w:r>
        <w:rPr>
          <w:noProof/>
        </w:rPr>
        <w:fldChar w:fldCharType="separate"/>
      </w:r>
      <w:r>
        <w:rPr>
          <w:noProof/>
        </w:rPr>
        <w:t>17</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5.1</w:t>
      </w:r>
      <w:r>
        <w:rPr>
          <w:rFonts w:asciiTheme="minorHAnsi" w:eastAsiaTheme="minorEastAsia" w:hAnsiTheme="minorHAnsi" w:cstheme="minorBidi"/>
          <w:noProof/>
          <w:w w:val="100"/>
          <w:lang w:eastAsia="en-AU" w:bidi="ar-SA"/>
        </w:rPr>
        <w:tab/>
      </w:r>
      <w:r>
        <w:rPr>
          <w:noProof/>
        </w:rPr>
        <w:t>Tenant's covenant</w:t>
      </w:r>
      <w:r>
        <w:rPr>
          <w:noProof/>
        </w:rPr>
        <w:tab/>
      </w:r>
      <w:r>
        <w:rPr>
          <w:noProof/>
        </w:rPr>
        <w:fldChar w:fldCharType="begin"/>
      </w:r>
      <w:r>
        <w:rPr>
          <w:noProof/>
        </w:rPr>
        <w:instrText xml:space="preserve"> PAGEREF _Toc411870608 \h </w:instrText>
      </w:r>
      <w:r>
        <w:rPr>
          <w:noProof/>
        </w:rPr>
      </w:r>
      <w:r>
        <w:rPr>
          <w:noProof/>
        </w:rPr>
        <w:fldChar w:fldCharType="separate"/>
      </w:r>
      <w:r>
        <w:rPr>
          <w:noProof/>
        </w:rPr>
        <w:t>17</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5.2</w:t>
      </w:r>
      <w:r>
        <w:rPr>
          <w:rFonts w:asciiTheme="minorHAnsi" w:eastAsiaTheme="minorEastAsia" w:hAnsiTheme="minorHAnsi" w:cstheme="minorBidi"/>
          <w:noProof/>
          <w:w w:val="100"/>
          <w:lang w:eastAsia="en-AU" w:bidi="ar-SA"/>
        </w:rPr>
        <w:tab/>
      </w:r>
      <w:r>
        <w:rPr>
          <w:noProof/>
        </w:rPr>
        <w:t>Payment of Rent</w:t>
      </w:r>
      <w:r>
        <w:rPr>
          <w:noProof/>
        </w:rPr>
        <w:tab/>
      </w:r>
      <w:r>
        <w:rPr>
          <w:noProof/>
        </w:rPr>
        <w:fldChar w:fldCharType="begin"/>
      </w:r>
      <w:r>
        <w:rPr>
          <w:noProof/>
        </w:rPr>
        <w:instrText xml:space="preserve"> PAGEREF _Toc411870609 \h </w:instrText>
      </w:r>
      <w:r>
        <w:rPr>
          <w:noProof/>
        </w:rPr>
      </w:r>
      <w:r>
        <w:rPr>
          <w:noProof/>
        </w:rPr>
        <w:fldChar w:fldCharType="separate"/>
      </w:r>
      <w:r>
        <w:rPr>
          <w:noProof/>
        </w:rPr>
        <w:t>17</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5.3</w:t>
      </w:r>
      <w:r>
        <w:rPr>
          <w:rFonts w:asciiTheme="minorHAnsi" w:eastAsiaTheme="minorEastAsia" w:hAnsiTheme="minorHAnsi" w:cstheme="minorBidi"/>
          <w:noProof/>
          <w:w w:val="100"/>
          <w:lang w:eastAsia="en-AU" w:bidi="ar-SA"/>
        </w:rPr>
        <w:tab/>
      </w:r>
      <w:r>
        <w:rPr>
          <w:noProof/>
        </w:rPr>
        <w:t>Other expenses</w:t>
      </w:r>
      <w:r>
        <w:rPr>
          <w:noProof/>
        </w:rPr>
        <w:tab/>
      </w:r>
      <w:r>
        <w:rPr>
          <w:noProof/>
        </w:rPr>
        <w:fldChar w:fldCharType="begin"/>
      </w:r>
      <w:r>
        <w:rPr>
          <w:noProof/>
        </w:rPr>
        <w:instrText xml:space="preserve"> PAGEREF _Toc411870610 \h </w:instrText>
      </w:r>
      <w:r>
        <w:rPr>
          <w:noProof/>
        </w:rPr>
      </w:r>
      <w:r>
        <w:rPr>
          <w:noProof/>
        </w:rPr>
        <w:fldChar w:fldCharType="separate"/>
      </w:r>
      <w:r>
        <w:rPr>
          <w:noProof/>
        </w:rPr>
        <w:t>17</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5.4</w:t>
      </w:r>
      <w:r>
        <w:rPr>
          <w:rFonts w:asciiTheme="minorHAnsi" w:eastAsiaTheme="minorEastAsia" w:hAnsiTheme="minorHAnsi" w:cstheme="minorBidi"/>
          <w:noProof/>
          <w:w w:val="100"/>
          <w:lang w:eastAsia="en-AU" w:bidi="ar-SA"/>
        </w:rPr>
        <w:tab/>
      </w:r>
      <w:r>
        <w:rPr>
          <w:noProof/>
        </w:rPr>
        <w:t>Payment of Landlord's Costs</w:t>
      </w:r>
      <w:r>
        <w:rPr>
          <w:noProof/>
        </w:rPr>
        <w:tab/>
      </w:r>
      <w:r>
        <w:rPr>
          <w:noProof/>
        </w:rPr>
        <w:fldChar w:fldCharType="begin"/>
      </w:r>
      <w:r>
        <w:rPr>
          <w:noProof/>
        </w:rPr>
        <w:instrText xml:space="preserve"> PAGEREF _Toc411870611 \h </w:instrText>
      </w:r>
      <w:r>
        <w:rPr>
          <w:noProof/>
        </w:rPr>
      </w:r>
      <w:r>
        <w:rPr>
          <w:noProof/>
        </w:rPr>
        <w:fldChar w:fldCharType="separate"/>
      </w:r>
      <w:r>
        <w:rPr>
          <w:noProof/>
        </w:rPr>
        <w:t>17</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5.5</w:t>
      </w:r>
      <w:r>
        <w:rPr>
          <w:rFonts w:asciiTheme="minorHAnsi" w:eastAsiaTheme="minorEastAsia" w:hAnsiTheme="minorHAnsi" w:cstheme="minorBidi"/>
          <w:noProof/>
          <w:w w:val="100"/>
          <w:lang w:eastAsia="en-AU" w:bidi="ar-SA"/>
        </w:rPr>
        <w:tab/>
      </w:r>
      <w:r>
        <w:rPr>
          <w:noProof/>
        </w:rPr>
        <w:t>Interest on overdue money</w:t>
      </w:r>
      <w:r>
        <w:rPr>
          <w:noProof/>
        </w:rPr>
        <w:tab/>
      </w:r>
      <w:r>
        <w:rPr>
          <w:noProof/>
        </w:rPr>
        <w:fldChar w:fldCharType="begin"/>
      </w:r>
      <w:r>
        <w:rPr>
          <w:noProof/>
        </w:rPr>
        <w:instrText xml:space="preserve"> PAGEREF _Toc411870612 \h </w:instrText>
      </w:r>
      <w:r>
        <w:rPr>
          <w:noProof/>
        </w:rPr>
      </w:r>
      <w:r>
        <w:rPr>
          <w:noProof/>
        </w:rPr>
        <w:fldChar w:fldCharType="separate"/>
      </w:r>
      <w:r>
        <w:rPr>
          <w:noProof/>
        </w:rPr>
        <w:t>18</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5.6</w:t>
      </w:r>
      <w:r>
        <w:rPr>
          <w:rFonts w:asciiTheme="minorHAnsi" w:eastAsiaTheme="minorEastAsia" w:hAnsiTheme="minorHAnsi" w:cstheme="minorBidi"/>
          <w:noProof/>
          <w:w w:val="100"/>
          <w:lang w:eastAsia="en-AU" w:bidi="ar-SA"/>
        </w:rPr>
        <w:tab/>
      </w:r>
      <w:r>
        <w:rPr>
          <w:noProof/>
        </w:rPr>
        <w:t>Time and method for payments</w:t>
      </w:r>
      <w:r>
        <w:rPr>
          <w:noProof/>
        </w:rPr>
        <w:tab/>
      </w:r>
      <w:r>
        <w:rPr>
          <w:noProof/>
        </w:rPr>
        <w:fldChar w:fldCharType="begin"/>
      </w:r>
      <w:r>
        <w:rPr>
          <w:noProof/>
        </w:rPr>
        <w:instrText xml:space="preserve"> PAGEREF _Toc411870613 \h </w:instrText>
      </w:r>
      <w:r>
        <w:rPr>
          <w:noProof/>
        </w:rPr>
      </w:r>
      <w:r>
        <w:rPr>
          <w:noProof/>
        </w:rPr>
        <w:fldChar w:fldCharType="separate"/>
      </w:r>
      <w:r>
        <w:rPr>
          <w:noProof/>
        </w:rPr>
        <w:t>18</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5.7</w:t>
      </w:r>
      <w:r>
        <w:rPr>
          <w:rFonts w:asciiTheme="minorHAnsi" w:eastAsiaTheme="minorEastAsia" w:hAnsiTheme="minorHAnsi" w:cstheme="minorBidi"/>
          <w:noProof/>
          <w:w w:val="100"/>
          <w:lang w:eastAsia="en-AU" w:bidi="ar-SA"/>
        </w:rPr>
        <w:tab/>
      </w:r>
      <w:r>
        <w:rPr>
          <w:noProof/>
        </w:rPr>
        <w:t>Adjustment for mistake</w:t>
      </w:r>
      <w:r>
        <w:rPr>
          <w:noProof/>
        </w:rPr>
        <w:tab/>
      </w:r>
      <w:r>
        <w:rPr>
          <w:noProof/>
        </w:rPr>
        <w:fldChar w:fldCharType="begin"/>
      </w:r>
      <w:r>
        <w:rPr>
          <w:noProof/>
        </w:rPr>
        <w:instrText xml:space="preserve"> PAGEREF _Toc411870614 \h </w:instrText>
      </w:r>
      <w:r>
        <w:rPr>
          <w:noProof/>
        </w:rPr>
      </w:r>
      <w:r>
        <w:rPr>
          <w:noProof/>
        </w:rPr>
        <w:fldChar w:fldCharType="separate"/>
      </w:r>
      <w:r>
        <w:rPr>
          <w:noProof/>
        </w:rPr>
        <w:t>18</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5.8</w:t>
      </w:r>
      <w:r>
        <w:rPr>
          <w:rFonts w:asciiTheme="minorHAnsi" w:eastAsiaTheme="minorEastAsia" w:hAnsiTheme="minorHAnsi" w:cstheme="minorBidi"/>
          <w:noProof/>
          <w:w w:val="100"/>
          <w:lang w:eastAsia="en-AU" w:bidi="ar-SA"/>
        </w:rPr>
        <w:tab/>
      </w:r>
      <w:r>
        <w:rPr>
          <w:noProof/>
        </w:rPr>
        <w:t>Landlord need not make demand</w:t>
      </w:r>
      <w:r>
        <w:rPr>
          <w:noProof/>
        </w:rPr>
        <w:tab/>
      </w:r>
      <w:r>
        <w:rPr>
          <w:noProof/>
        </w:rPr>
        <w:fldChar w:fldCharType="begin"/>
      </w:r>
      <w:r>
        <w:rPr>
          <w:noProof/>
        </w:rPr>
        <w:instrText xml:space="preserve"> PAGEREF _Toc411870615 \h </w:instrText>
      </w:r>
      <w:r>
        <w:rPr>
          <w:noProof/>
        </w:rPr>
      </w:r>
      <w:r>
        <w:rPr>
          <w:noProof/>
        </w:rPr>
        <w:fldChar w:fldCharType="separate"/>
      </w:r>
      <w:r>
        <w:rPr>
          <w:noProof/>
        </w:rPr>
        <w:t>18</w:t>
      </w:r>
      <w:r>
        <w:rPr>
          <w:noProof/>
        </w:rPr>
        <w:fldChar w:fldCharType="end"/>
      </w:r>
    </w:p>
    <w:p w:rsidR="001B3D5D" w:rsidRDefault="004D5502">
      <w:pPr>
        <w:pStyle w:val="TOC2"/>
        <w:rPr>
          <w:rFonts w:asciiTheme="minorHAnsi" w:eastAsiaTheme="minorEastAsia" w:hAnsiTheme="minorHAnsi" w:cstheme="minorBidi"/>
          <w:b w:val="0"/>
          <w:bCs w:val="0"/>
          <w:noProof/>
          <w:w w:val="100"/>
          <w:sz w:val="22"/>
          <w:szCs w:val="22"/>
          <w:lang w:eastAsia="en-AU" w:bidi="ar-SA"/>
        </w:rPr>
      </w:pPr>
      <w:r>
        <w:rPr>
          <w:noProof/>
        </w:rPr>
        <w:t>6.</w:t>
      </w:r>
      <w:r>
        <w:rPr>
          <w:rFonts w:asciiTheme="minorHAnsi" w:eastAsiaTheme="minorEastAsia" w:hAnsiTheme="minorHAnsi" w:cstheme="minorBidi"/>
          <w:b w:val="0"/>
          <w:bCs w:val="0"/>
          <w:noProof/>
          <w:w w:val="100"/>
          <w:sz w:val="22"/>
          <w:szCs w:val="22"/>
          <w:lang w:eastAsia="en-AU" w:bidi="ar-SA"/>
        </w:rPr>
        <w:tab/>
      </w:r>
      <w:r>
        <w:rPr>
          <w:noProof/>
        </w:rPr>
        <w:t>Rent Review</w:t>
      </w:r>
      <w:r>
        <w:rPr>
          <w:noProof/>
        </w:rPr>
        <w:tab/>
      </w:r>
      <w:r>
        <w:rPr>
          <w:noProof/>
        </w:rPr>
        <w:fldChar w:fldCharType="begin"/>
      </w:r>
      <w:r>
        <w:rPr>
          <w:noProof/>
        </w:rPr>
        <w:instrText xml:space="preserve"> PAGEREF _Toc411870616 \h </w:instrText>
      </w:r>
      <w:r>
        <w:rPr>
          <w:noProof/>
        </w:rPr>
      </w:r>
      <w:r>
        <w:rPr>
          <w:noProof/>
        </w:rPr>
        <w:fldChar w:fldCharType="separate"/>
      </w:r>
      <w:r>
        <w:rPr>
          <w:noProof/>
        </w:rPr>
        <w:t>18</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6.1</w:t>
      </w:r>
      <w:r>
        <w:rPr>
          <w:rFonts w:asciiTheme="minorHAnsi" w:eastAsiaTheme="minorEastAsia" w:hAnsiTheme="minorHAnsi" w:cstheme="minorBidi"/>
          <w:noProof/>
          <w:w w:val="100"/>
          <w:lang w:eastAsia="en-AU" w:bidi="ar-SA"/>
        </w:rPr>
        <w:tab/>
      </w:r>
      <w:r>
        <w:rPr>
          <w:noProof/>
        </w:rPr>
        <w:t>CPI</w:t>
      </w:r>
      <w:r>
        <w:rPr>
          <w:noProof/>
        </w:rPr>
        <w:tab/>
      </w:r>
      <w:r>
        <w:rPr>
          <w:noProof/>
        </w:rPr>
        <w:fldChar w:fldCharType="begin"/>
      </w:r>
      <w:r>
        <w:rPr>
          <w:noProof/>
        </w:rPr>
        <w:instrText xml:space="preserve"> PAGEREF _Toc411870617 \h </w:instrText>
      </w:r>
      <w:r>
        <w:rPr>
          <w:noProof/>
        </w:rPr>
      </w:r>
      <w:r>
        <w:rPr>
          <w:noProof/>
        </w:rPr>
        <w:fldChar w:fldCharType="separate"/>
      </w:r>
      <w:r>
        <w:rPr>
          <w:noProof/>
        </w:rPr>
        <w:t>18</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6.2</w:t>
      </w:r>
      <w:r>
        <w:rPr>
          <w:rFonts w:asciiTheme="minorHAnsi" w:eastAsiaTheme="minorEastAsia" w:hAnsiTheme="minorHAnsi" w:cstheme="minorBidi"/>
          <w:noProof/>
          <w:w w:val="100"/>
          <w:lang w:eastAsia="en-AU" w:bidi="ar-SA"/>
        </w:rPr>
        <w:tab/>
      </w:r>
      <w:r>
        <w:rPr>
          <w:noProof/>
        </w:rPr>
        <w:t>Rent minimum increase</w:t>
      </w:r>
      <w:r>
        <w:rPr>
          <w:noProof/>
        </w:rPr>
        <w:tab/>
      </w:r>
      <w:r>
        <w:rPr>
          <w:noProof/>
        </w:rPr>
        <w:fldChar w:fldCharType="begin"/>
      </w:r>
      <w:r>
        <w:rPr>
          <w:noProof/>
        </w:rPr>
        <w:instrText xml:space="preserve"> PAGEREF _Toc411870618 \h </w:instrText>
      </w:r>
      <w:r>
        <w:rPr>
          <w:noProof/>
        </w:rPr>
      </w:r>
      <w:r>
        <w:rPr>
          <w:noProof/>
        </w:rPr>
        <w:fldChar w:fldCharType="separate"/>
      </w:r>
      <w:r>
        <w:rPr>
          <w:noProof/>
        </w:rPr>
        <w:t>19</w:t>
      </w:r>
      <w:r>
        <w:rPr>
          <w:noProof/>
        </w:rPr>
        <w:fldChar w:fldCharType="end"/>
      </w:r>
    </w:p>
    <w:p w:rsidR="001B3D5D" w:rsidRDefault="004D5502">
      <w:pPr>
        <w:pStyle w:val="TOC2"/>
        <w:rPr>
          <w:rFonts w:asciiTheme="minorHAnsi" w:eastAsiaTheme="minorEastAsia" w:hAnsiTheme="minorHAnsi" w:cstheme="minorBidi"/>
          <w:b w:val="0"/>
          <w:bCs w:val="0"/>
          <w:noProof/>
          <w:w w:val="100"/>
          <w:sz w:val="22"/>
          <w:szCs w:val="22"/>
          <w:lang w:eastAsia="en-AU" w:bidi="ar-SA"/>
        </w:rPr>
      </w:pPr>
      <w:r>
        <w:rPr>
          <w:noProof/>
        </w:rPr>
        <w:t>7.</w:t>
      </w:r>
      <w:r>
        <w:rPr>
          <w:rFonts w:asciiTheme="minorHAnsi" w:eastAsiaTheme="minorEastAsia" w:hAnsiTheme="minorHAnsi" w:cstheme="minorBidi"/>
          <w:b w:val="0"/>
          <w:bCs w:val="0"/>
          <w:noProof/>
          <w:w w:val="100"/>
          <w:sz w:val="22"/>
          <w:szCs w:val="22"/>
          <w:lang w:eastAsia="en-AU" w:bidi="ar-SA"/>
        </w:rPr>
        <w:tab/>
      </w:r>
      <w:r>
        <w:rPr>
          <w:noProof/>
        </w:rPr>
        <w:t>Market Rent Review</w:t>
      </w:r>
      <w:r>
        <w:rPr>
          <w:noProof/>
        </w:rPr>
        <w:tab/>
      </w:r>
      <w:r>
        <w:rPr>
          <w:noProof/>
        </w:rPr>
        <w:fldChar w:fldCharType="begin"/>
      </w:r>
      <w:r>
        <w:rPr>
          <w:noProof/>
        </w:rPr>
        <w:instrText xml:space="preserve"> PAGEREF _Toc411870619 \h </w:instrText>
      </w:r>
      <w:r>
        <w:rPr>
          <w:noProof/>
        </w:rPr>
      </w:r>
      <w:r>
        <w:rPr>
          <w:noProof/>
        </w:rPr>
        <w:fldChar w:fldCharType="separate"/>
      </w:r>
      <w:r>
        <w:rPr>
          <w:noProof/>
        </w:rPr>
        <w:t>19</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7.1</w:t>
      </w:r>
      <w:r>
        <w:rPr>
          <w:rFonts w:asciiTheme="minorHAnsi" w:eastAsiaTheme="minorEastAsia" w:hAnsiTheme="minorHAnsi" w:cstheme="minorBidi"/>
          <w:noProof/>
          <w:w w:val="100"/>
          <w:lang w:eastAsia="en-AU" w:bidi="ar-SA"/>
        </w:rPr>
        <w:tab/>
      </w:r>
      <w:r>
        <w:rPr>
          <w:noProof/>
        </w:rPr>
        <w:t>Market Rent Review</w:t>
      </w:r>
      <w:r>
        <w:rPr>
          <w:noProof/>
        </w:rPr>
        <w:tab/>
      </w:r>
      <w:r>
        <w:rPr>
          <w:noProof/>
        </w:rPr>
        <w:fldChar w:fldCharType="begin"/>
      </w:r>
      <w:r>
        <w:rPr>
          <w:noProof/>
        </w:rPr>
        <w:instrText xml:space="preserve"> PAGEREF _Toc411870620 \h </w:instrText>
      </w:r>
      <w:r>
        <w:rPr>
          <w:noProof/>
        </w:rPr>
      </w:r>
      <w:r>
        <w:rPr>
          <w:noProof/>
        </w:rPr>
        <w:fldChar w:fldCharType="separate"/>
      </w:r>
      <w:r>
        <w:rPr>
          <w:noProof/>
        </w:rPr>
        <w:t>19</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7.2</w:t>
      </w:r>
      <w:r>
        <w:rPr>
          <w:rFonts w:asciiTheme="minorHAnsi" w:eastAsiaTheme="minorEastAsia" w:hAnsiTheme="minorHAnsi" w:cstheme="minorBidi"/>
          <w:noProof/>
          <w:w w:val="100"/>
          <w:lang w:eastAsia="en-AU" w:bidi="ar-SA"/>
        </w:rPr>
        <w:tab/>
      </w:r>
      <w:r>
        <w:rPr>
          <w:noProof/>
        </w:rPr>
        <w:t>Either party may initiate Market Review</w:t>
      </w:r>
      <w:r>
        <w:rPr>
          <w:noProof/>
        </w:rPr>
        <w:tab/>
      </w:r>
      <w:r>
        <w:rPr>
          <w:noProof/>
        </w:rPr>
        <w:fldChar w:fldCharType="begin"/>
      </w:r>
      <w:r>
        <w:rPr>
          <w:noProof/>
        </w:rPr>
        <w:instrText xml:space="preserve"> PAGEREF _Toc411870621 \h </w:instrText>
      </w:r>
      <w:r>
        <w:rPr>
          <w:noProof/>
        </w:rPr>
      </w:r>
      <w:r>
        <w:rPr>
          <w:noProof/>
        </w:rPr>
        <w:fldChar w:fldCharType="separate"/>
      </w:r>
      <w:r>
        <w:rPr>
          <w:noProof/>
        </w:rPr>
        <w:t>19</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7.3</w:t>
      </w:r>
      <w:r>
        <w:rPr>
          <w:rFonts w:asciiTheme="minorHAnsi" w:eastAsiaTheme="minorEastAsia" w:hAnsiTheme="minorHAnsi" w:cstheme="minorBidi"/>
          <w:noProof/>
          <w:w w:val="100"/>
          <w:lang w:eastAsia="en-AU" w:bidi="ar-SA"/>
        </w:rPr>
        <w:tab/>
      </w:r>
      <w:r>
        <w:rPr>
          <w:noProof/>
        </w:rPr>
        <w:t>Determination binding</w:t>
      </w:r>
      <w:r>
        <w:rPr>
          <w:noProof/>
        </w:rPr>
        <w:tab/>
      </w:r>
      <w:r>
        <w:rPr>
          <w:noProof/>
        </w:rPr>
        <w:fldChar w:fldCharType="begin"/>
      </w:r>
      <w:r>
        <w:rPr>
          <w:noProof/>
        </w:rPr>
        <w:instrText xml:space="preserve"> PAGEREF _Toc411870622 \h</w:instrText>
      </w:r>
      <w:r>
        <w:rPr>
          <w:noProof/>
        </w:rPr>
        <w:instrText xml:space="preserve"> </w:instrText>
      </w:r>
      <w:r>
        <w:rPr>
          <w:noProof/>
        </w:rPr>
      </w:r>
      <w:r>
        <w:rPr>
          <w:noProof/>
        </w:rPr>
        <w:fldChar w:fldCharType="separate"/>
      </w:r>
      <w:r>
        <w:rPr>
          <w:noProof/>
        </w:rPr>
        <w:t>20</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7.4</w:t>
      </w:r>
      <w:r>
        <w:rPr>
          <w:rFonts w:asciiTheme="minorHAnsi" w:eastAsiaTheme="minorEastAsia" w:hAnsiTheme="minorHAnsi" w:cstheme="minorBidi"/>
          <w:noProof/>
          <w:w w:val="100"/>
          <w:lang w:eastAsia="en-AU" w:bidi="ar-SA"/>
        </w:rPr>
        <w:tab/>
      </w:r>
      <w:r>
        <w:rPr>
          <w:noProof/>
        </w:rPr>
        <w:t>Costs of determination</w:t>
      </w:r>
      <w:r>
        <w:rPr>
          <w:noProof/>
        </w:rPr>
        <w:tab/>
      </w:r>
      <w:r>
        <w:rPr>
          <w:noProof/>
        </w:rPr>
        <w:fldChar w:fldCharType="begin"/>
      </w:r>
      <w:r>
        <w:rPr>
          <w:noProof/>
        </w:rPr>
        <w:instrText xml:space="preserve"> PAGEREF _Toc411870623 \h </w:instrText>
      </w:r>
      <w:r>
        <w:rPr>
          <w:noProof/>
        </w:rPr>
      </w:r>
      <w:r>
        <w:rPr>
          <w:noProof/>
        </w:rPr>
        <w:fldChar w:fldCharType="separate"/>
      </w:r>
      <w:r>
        <w:rPr>
          <w:noProof/>
        </w:rPr>
        <w:t>20</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7.5</w:t>
      </w:r>
      <w:r>
        <w:rPr>
          <w:rFonts w:asciiTheme="minorHAnsi" w:eastAsiaTheme="minorEastAsia" w:hAnsiTheme="minorHAnsi" w:cstheme="minorBidi"/>
          <w:noProof/>
          <w:w w:val="100"/>
          <w:lang w:eastAsia="en-AU" w:bidi="ar-SA"/>
        </w:rPr>
        <w:tab/>
      </w:r>
      <w:r>
        <w:rPr>
          <w:noProof/>
        </w:rPr>
        <w:t>Payments until determination is made</w:t>
      </w:r>
      <w:r>
        <w:rPr>
          <w:noProof/>
        </w:rPr>
        <w:tab/>
      </w:r>
      <w:r>
        <w:rPr>
          <w:noProof/>
        </w:rPr>
        <w:fldChar w:fldCharType="begin"/>
      </w:r>
      <w:r>
        <w:rPr>
          <w:noProof/>
        </w:rPr>
        <w:instrText xml:space="preserve"> PAGEREF _Toc4118706</w:instrText>
      </w:r>
      <w:r>
        <w:rPr>
          <w:noProof/>
        </w:rPr>
        <w:instrText xml:space="preserve">24 \h </w:instrText>
      </w:r>
      <w:r>
        <w:rPr>
          <w:noProof/>
        </w:rPr>
      </w:r>
      <w:r>
        <w:rPr>
          <w:noProof/>
        </w:rPr>
        <w:fldChar w:fldCharType="separate"/>
      </w:r>
      <w:r>
        <w:rPr>
          <w:noProof/>
        </w:rPr>
        <w:t>20</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7.6</w:t>
      </w:r>
      <w:r>
        <w:rPr>
          <w:rFonts w:asciiTheme="minorHAnsi" w:eastAsiaTheme="minorEastAsia" w:hAnsiTheme="minorHAnsi" w:cstheme="minorBidi"/>
          <w:noProof/>
          <w:w w:val="100"/>
          <w:lang w:eastAsia="en-AU" w:bidi="ar-SA"/>
        </w:rPr>
        <w:tab/>
      </w:r>
      <w:r>
        <w:rPr>
          <w:noProof/>
        </w:rPr>
        <w:t>Rent minimum increase</w:t>
      </w:r>
      <w:r>
        <w:rPr>
          <w:noProof/>
        </w:rPr>
        <w:tab/>
      </w:r>
      <w:r>
        <w:rPr>
          <w:noProof/>
        </w:rPr>
        <w:fldChar w:fldCharType="begin"/>
      </w:r>
      <w:r>
        <w:rPr>
          <w:noProof/>
        </w:rPr>
        <w:instrText xml:space="preserve"> PAGEREF _Toc411870625 \h </w:instrText>
      </w:r>
      <w:r>
        <w:rPr>
          <w:noProof/>
        </w:rPr>
      </w:r>
      <w:r>
        <w:rPr>
          <w:noProof/>
        </w:rPr>
        <w:fldChar w:fldCharType="separate"/>
      </w:r>
      <w:r>
        <w:rPr>
          <w:noProof/>
        </w:rPr>
        <w:t>20</w:t>
      </w:r>
      <w:r>
        <w:rPr>
          <w:noProof/>
        </w:rPr>
        <w:fldChar w:fldCharType="end"/>
      </w:r>
    </w:p>
    <w:p w:rsidR="001B3D5D" w:rsidRDefault="004D5502">
      <w:pPr>
        <w:pStyle w:val="TOC2"/>
        <w:rPr>
          <w:rFonts w:asciiTheme="minorHAnsi" w:eastAsiaTheme="minorEastAsia" w:hAnsiTheme="minorHAnsi" w:cstheme="minorBidi"/>
          <w:b w:val="0"/>
          <w:bCs w:val="0"/>
          <w:noProof/>
          <w:w w:val="100"/>
          <w:sz w:val="22"/>
          <w:szCs w:val="22"/>
          <w:lang w:eastAsia="en-AU" w:bidi="ar-SA"/>
        </w:rPr>
      </w:pPr>
      <w:r>
        <w:rPr>
          <w:noProof/>
        </w:rPr>
        <w:t>8.</w:t>
      </w:r>
      <w:r>
        <w:rPr>
          <w:rFonts w:asciiTheme="minorHAnsi" w:eastAsiaTheme="minorEastAsia" w:hAnsiTheme="minorHAnsi" w:cstheme="minorBidi"/>
          <w:b w:val="0"/>
          <w:bCs w:val="0"/>
          <w:noProof/>
          <w:w w:val="100"/>
          <w:sz w:val="22"/>
          <w:szCs w:val="22"/>
          <w:lang w:eastAsia="en-AU" w:bidi="ar-SA"/>
        </w:rPr>
        <w:tab/>
      </w:r>
      <w:r>
        <w:rPr>
          <w:noProof/>
        </w:rPr>
        <w:t>Use of Premises</w:t>
      </w:r>
      <w:r>
        <w:rPr>
          <w:noProof/>
        </w:rPr>
        <w:tab/>
      </w:r>
      <w:r>
        <w:rPr>
          <w:noProof/>
        </w:rPr>
        <w:fldChar w:fldCharType="begin"/>
      </w:r>
      <w:r>
        <w:rPr>
          <w:noProof/>
        </w:rPr>
        <w:instrText xml:space="preserve"> PAGEREF _Toc411870626 \h </w:instrText>
      </w:r>
      <w:r>
        <w:rPr>
          <w:noProof/>
        </w:rPr>
      </w:r>
      <w:r>
        <w:rPr>
          <w:noProof/>
        </w:rPr>
        <w:fldChar w:fldCharType="separate"/>
      </w:r>
      <w:r>
        <w:rPr>
          <w:noProof/>
        </w:rPr>
        <w:t>20</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8.1</w:t>
      </w:r>
      <w:r>
        <w:rPr>
          <w:rFonts w:asciiTheme="minorHAnsi" w:eastAsiaTheme="minorEastAsia" w:hAnsiTheme="minorHAnsi" w:cstheme="minorBidi"/>
          <w:noProof/>
          <w:w w:val="100"/>
          <w:lang w:eastAsia="en-AU" w:bidi="ar-SA"/>
        </w:rPr>
        <w:tab/>
      </w:r>
      <w:r>
        <w:rPr>
          <w:noProof/>
        </w:rPr>
        <w:t>Permitted use</w:t>
      </w:r>
      <w:r>
        <w:rPr>
          <w:noProof/>
        </w:rPr>
        <w:tab/>
      </w:r>
      <w:r>
        <w:rPr>
          <w:noProof/>
        </w:rPr>
        <w:fldChar w:fldCharType="begin"/>
      </w:r>
      <w:r>
        <w:rPr>
          <w:noProof/>
        </w:rPr>
        <w:instrText xml:space="preserve"> PAGEREF _Toc411870627 \h </w:instrText>
      </w:r>
      <w:r>
        <w:rPr>
          <w:noProof/>
        </w:rPr>
      </w:r>
      <w:r>
        <w:rPr>
          <w:noProof/>
        </w:rPr>
        <w:fldChar w:fldCharType="separate"/>
      </w:r>
      <w:r>
        <w:rPr>
          <w:noProof/>
        </w:rPr>
        <w:t>20</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8.2</w:t>
      </w:r>
      <w:r>
        <w:rPr>
          <w:rFonts w:asciiTheme="minorHAnsi" w:eastAsiaTheme="minorEastAsia" w:hAnsiTheme="minorHAnsi" w:cstheme="minorBidi"/>
          <w:noProof/>
          <w:w w:val="100"/>
          <w:lang w:eastAsia="en-AU" w:bidi="ar-SA"/>
        </w:rPr>
        <w:tab/>
      </w:r>
      <w:r>
        <w:rPr>
          <w:noProof/>
        </w:rPr>
        <w:t>No undesirable or illegal use</w:t>
      </w:r>
      <w:r>
        <w:rPr>
          <w:noProof/>
        </w:rPr>
        <w:tab/>
      </w:r>
      <w:r>
        <w:rPr>
          <w:noProof/>
        </w:rPr>
        <w:fldChar w:fldCharType="begin"/>
      </w:r>
      <w:r>
        <w:rPr>
          <w:noProof/>
        </w:rPr>
        <w:instrText xml:space="preserve"> PAGEREF _Toc411870628 \h </w:instrText>
      </w:r>
      <w:r>
        <w:rPr>
          <w:noProof/>
        </w:rPr>
      </w:r>
      <w:r>
        <w:rPr>
          <w:noProof/>
        </w:rPr>
        <w:fldChar w:fldCharType="separate"/>
      </w:r>
      <w:r>
        <w:rPr>
          <w:noProof/>
        </w:rPr>
        <w:t>21</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8.3</w:t>
      </w:r>
      <w:r>
        <w:rPr>
          <w:rFonts w:asciiTheme="minorHAnsi" w:eastAsiaTheme="minorEastAsia" w:hAnsiTheme="minorHAnsi" w:cstheme="minorBidi"/>
          <w:noProof/>
          <w:w w:val="100"/>
          <w:lang w:eastAsia="en-AU" w:bidi="ar-SA"/>
        </w:rPr>
        <w:tab/>
      </w:r>
      <w:r>
        <w:rPr>
          <w:noProof/>
        </w:rPr>
        <w:t>No signs</w:t>
      </w:r>
      <w:r>
        <w:rPr>
          <w:noProof/>
        </w:rPr>
        <w:tab/>
      </w:r>
      <w:r>
        <w:rPr>
          <w:noProof/>
        </w:rPr>
        <w:fldChar w:fldCharType="begin"/>
      </w:r>
      <w:r>
        <w:rPr>
          <w:noProof/>
        </w:rPr>
        <w:instrText xml:space="preserve"> PAGEREF _Toc411870629 \h </w:instrText>
      </w:r>
      <w:r>
        <w:rPr>
          <w:noProof/>
        </w:rPr>
      </w:r>
      <w:r>
        <w:rPr>
          <w:noProof/>
        </w:rPr>
        <w:fldChar w:fldCharType="separate"/>
      </w:r>
      <w:r>
        <w:rPr>
          <w:noProof/>
        </w:rPr>
        <w:t>21</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8.4</w:t>
      </w:r>
      <w:r>
        <w:rPr>
          <w:rFonts w:asciiTheme="minorHAnsi" w:eastAsiaTheme="minorEastAsia" w:hAnsiTheme="minorHAnsi" w:cstheme="minorBidi"/>
          <w:noProof/>
          <w:w w:val="100"/>
          <w:lang w:eastAsia="en-AU" w:bidi="ar-SA"/>
        </w:rPr>
        <w:tab/>
      </w:r>
      <w:r>
        <w:rPr>
          <w:noProof/>
        </w:rPr>
        <w:t>Infectious disease in Premises</w:t>
      </w:r>
      <w:r>
        <w:rPr>
          <w:noProof/>
        </w:rPr>
        <w:tab/>
      </w:r>
      <w:r>
        <w:rPr>
          <w:noProof/>
        </w:rPr>
        <w:fldChar w:fldCharType="begin"/>
      </w:r>
      <w:r>
        <w:rPr>
          <w:noProof/>
        </w:rPr>
        <w:instrText xml:space="preserve"> PAGEREF _Toc411870630 \h </w:instrText>
      </w:r>
      <w:r>
        <w:rPr>
          <w:noProof/>
        </w:rPr>
      </w:r>
      <w:r>
        <w:rPr>
          <w:noProof/>
        </w:rPr>
        <w:fldChar w:fldCharType="separate"/>
      </w:r>
      <w:r>
        <w:rPr>
          <w:noProof/>
        </w:rPr>
        <w:t>21</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8.5</w:t>
      </w:r>
      <w:r>
        <w:rPr>
          <w:rFonts w:asciiTheme="minorHAnsi" w:eastAsiaTheme="minorEastAsia" w:hAnsiTheme="minorHAnsi" w:cstheme="minorBidi"/>
          <w:noProof/>
          <w:w w:val="100"/>
          <w:lang w:eastAsia="en-AU" w:bidi="ar-SA"/>
        </w:rPr>
        <w:tab/>
      </w:r>
      <w:r>
        <w:rPr>
          <w:noProof/>
        </w:rPr>
        <w:t>Tenant to give notice of damage</w:t>
      </w:r>
      <w:r>
        <w:rPr>
          <w:noProof/>
        </w:rPr>
        <w:tab/>
      </w:r>
      <w:r>
        <w:rPr>
          <w:noProof/>
        </w:rPr>
        <w:fldChar w:fldCharType="begin"/>
      </w:r>
      <w:r>
        <w:rPr>
          <w:noProof/>
        </w:rPr>
        <w:instrText xml:space="preserve"> PAGEREF _Toc411870631 \h </w:instrText>
      </w:r>
      <w:r>
        <w:rPr>
          <w:noProof/>
        </w:rPr>
      </w:r>
      <w:r>
        <w:rPr>
          <w:noProof/>
        </w:rPr>
        <w:fldChar w:fldCharType="separate"/>
      </w:r>
      <w:r>
        <w:rPr>
          <w:noProof/>
        </w:rPr>
        <w:t>21</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8.6</w:t>
      </w:r>
      <w:r>
        <w:rPr>
          <w:rFonts w:asciiTheme="minorHAnsi" w:eastAsiaTheme="minorEastAsia" w:hAnsiTheme="minorHAnsi" w:cstheme="minorBidi"/>
          <w:noProof/>
          <w:w w:val="100"/>
          <w:lang w:eastAsia="en-AU" w:bidi="ar-SA"/>
        </w:rPr>
        <w:tab/>
      </w:r>
      <w:r>
        <w:rPr>
          <w:noProof/>
        </w:rPr>
        <w:t>Use of facilities</w:t>
      </w:r>
      <w:r>
        <w:rPr>
          <w:noProof/>
        </w:rPr>
        <w:tab/>
      </w:r>
      <w:r>
        <w:rPr>
          <w:noProof/>
        </w:rPr>
        <w:fldChar w:fldCharType="begin"/>
      </w:r>
      <w:r>
        <w:rPr>
          <w:noProof/>
        </w:rPr>
        <w:instrText xml:space="preserve"> PAGEREF _Toc411870632 \h </w:instrText>
      </w:r>
      <w:r>
        <w:rPr>
          <w:noProof/>
        </w:rPr>
      </w:r>
      <w:r>
        <w:rPr>
          <w:noProof/>
        </w:rPr>
        <w:fldChar w:fldCharType="separate"/>
      </w:r>
      <w:r>
        <w:rPr>
          <w:noProof/>
        </w:rPr>
        <w:t>21</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lastRenderedPageBreak/>
        <w:t>8.7</w:t>
      </w:r>
      <w:r>
        <w:rPr>
          <w:rFonts w:asciiTheme="minorHAnsi" w:eastAsiaTheme="minorEastAsia" w:hAnsiTheme="minorHAnsi" w:cstheme="minorBidi"/>
          <w:noProof/>
          <w:w w:val="100"/>
          <w:lang w:eastAsia="en-AU" w:bidi="ar-SA"/>
        </w:rPr>
        <w:tab/>
      </w:r>
      <w:r>
        <w:rPr>
          <w:noProof/>
        </w:rPr>
        <w:t>No rodents or animals</w:t>
      </w:r>
      <w:r>
        <w:rPr>
          <w:noProof/>
        </w:rPr>
        <w:tab/>
      </w:r>
      <w:r>
        <w:rPr>
          <w:noProof/>
        </w:rPr>
        <w:fldChar w:fldCharType="begin"/>
      </w:r>
      <w:r>
        <w:rPr>
          <w:noProof/>
        </w:rPr>
        <w:instrText xml:space="preserve"> PAGEREF _Toc411870633 \h </w:instrText>
      </w:r>
      <w:r>
        <w:rPr>
          <w:noProof/>
        </w:rPr>
      </w:r>
      <w:r>
        <w:rPr>
          <w:noProof/>
        </w:rPr>
        <w:fldChar w:fldCharType="separate"/>
      </w:r>
      <w:r>
        <w:rPr>
          <w:noProof/>
        </w:rPr>
        <w:t>21</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8.8</w:t>
      </w:r>
      <w:r>
        <w:rPr>
          <w:rFonts w:asciiTheme="minorHAnsi" w:eastAsiaTheme="minorEastAsia" w:hAnsiTheme="minorHAnsi" w:cstheme="minorBidi"/>
          <w:noProof/>
          <w:w w:val="100"/>
          <w:lang w:eastAsia="en-AU" w:bidi="ar-SA"/>
        </w:rPr>
        <w:tab/>
      </w:r>
      <w:r>
        <w:rPr>
          <w:noProof/>
        </w:rPr>
        <w:t>No storage of flammable substances</w:t>
      </w:r>
      <w:r>
        <w:rPr>
          <w:noProof/>
        </w:rPr>
        <w:tab/>
      </w:r>
      <w:r>
        <w:rPr>
          <w:noProof/>
        </w:rPr>
        <w:fldChar w:fldCharType="begin"/>
      </w:r>
      <w:r>
        <w:rPr>
          <w:noProof/>
        </w:rPr>
        <w:instrText xml:space="preserve"> PAGEREF _Toc411870634 \h </w:instrText>
      </w:r>
      <w:r>
        <w:rPr>
          <w:noProof/>
        </w:rPr>
      </w:r>
      <w:r>
        <w:rPr>
          <w:noProof/>
        </w:rPr>
        <w:fldChar w:fldCharType="separate"/>
      </w:r>
      <w:r>
        <w:rPr>
          <w:noProof/>
        </w:rPr>
        <w:t>22</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8.9</w:t>
      </w:r>
      <w:r>
        <w:rPr>
          <w:rFonts w:asciiTheme="minorHAnsi" w:eastAsiaTheme="minorEastAsia" w:hAnsiTheme="minorHAnsi" w:cstheme="minorBidi"/>
          <w:noProof/>
          <w:w w:val="100"/>
          <w:lang w:eastAsia="en-AU" w:bidi="ar-SA"/>
        </w:rPr>
        <w:tab/>
      </w:r>
      <w:r>
        <w:rPr>
          <w:noProof/>
        </w:rPr>
        <w:t>Compliance with fire regulations</w:t>
      </w:r>
      <w:r>
        <w:rPr>
          <w:noProof/>
        </w:rPr>
        <w:tab/>
      </w:r>
      <w:r>
        <w:rPr>
          <w:noProof/>
        </w:rPr>
        <w:fldChar w:fldCharType="begin"/>
      </w:r>
      <w:r>
        <w:rPr>
          <w:noProof/>
        </w:rPr>
        <w:instrText xml:space="preserve"> PAGEREF _Toc411870635 \h </w:instrText>
      </w:r>
      <w:r>
        <w:rPr>
          <w:noProof/>
        </w:rPr>
      </w:r>
      <w:r>
        <w:rPr>
          <w:noProof/>
        </w:rPr>
        <w:fldChar w:fldCharType="separate"/>
      </w:r>
      <w:r>
        <w:rPr>
          <w:noProof/>
        </w:rPr>
        <w:t>22</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8.10</w:t>
      </w:r>
      <w:r>
        <w:rPr>
          <w:rFonts w:asciiTheme="minorHAnsi" w:eastAsiaTheme="minorEastAsia" w:hAnsiTheme="minorHAnsi" w:cstheme="minorBidi"/>
          <w:noProof/>
          <w:w w:val="100"/>
          <w:lang w:eastAsia="en-AU" w:bidi="ar-SA"/>
        </w:rPr>
        <w:tab/>
      </w:r>
      <w:r>
        <w:rPr>
          <w:noProof/>
        </w:rPr>
        <w:t>Fire or emergency drills</w:t>
      </w:r>
      <w:r>
        <w:rPr>
          <w:noProof/>
        </w:rPr>
        <w:tab/>
      </w:r>
      <w:r>
        <w:rPr>
          <w:noProof/>
        </w:rPr>
        <w:fldChar w:fldCharType="begin"/>
      </w:r>
      <w:r>
        <w:rPr>
          <w:noProof/>
        </w:rPr>
        <w:instrText xml:space="preserve"> PAGEREF _Toc411870636 \h </w:instrText>
      </w:r>
      <w:r>
        <w:rPr>
          <w:noProof/>
        </w:rPr>
      </w:r>
      <w:r>
        <w:rPr>
          <w:noProof/>
        </w:rPr>
        <w:fldChar w:fldCharType="separate"/>
      </w:r>
      <w:r>
        <w:rPr>
          <w:noProof/>
        </w:rPr>
        <w:t>22</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8.11</w:t>
      </w:r>
      <w:r>
        <w:rPr>
          <w:rFonts w:asciiTheme="minorHAnsi" w:eastAsiaTheme="minorEastAsia" w:hAnsiTheme="minorHAnsi" w:cstheme="minorBidi"/>
          <w:noProof/>
          <w:w w:val="100"/>
          <w:lang w:eastAsia="en-AU" w:bidi="ar-SA"/>
        </w:rPr>
        <w:tab/>
      </w:r>
      <w:r>
        <w:rPr>
          <w:noProof/>
        </w:rPr>
        <w:t>Environmental obligations</w:t>
      </w:r>
      <w:r>
        <w:rPr>
          <w:noProof/>
        </w:rPr>
        <w:tab/>
      </w:r>
      <w:r>
        <w:rPr>
          <w:noProof/>
        </w:rPr>
        <w:fldChar w:fldCharType="begin"/>
      </w:r>
      <w:r>
        <w:rPr>
          <w:noProof/>
        </w:rPr>
        <w:instrText xml:space="preserve"> PAGEREF _Toc411870637 \h </w:instrText>
      </w:r>
      <w:r>
        <w:rPr>
          <w:noProof/>
        </w:rPr>
      </w:r>
      <w:r>
        <w:rPr>
          <w:noProof/>
        </w:rPr>
        <w:fldChar w:fldCharType="separate"/>
      </w:r>
      <w:r>
        <w:rPr>
          <w:noProof/>
        </w:rPr>
        <w:t>22</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8.12</w:t>
      </w:r>
      <w:r>
        <w:rPr>
          <w:rFonts w:asciiTheme="minorHAnsi" w:eastAsiaTheme="minorEastAsia" w:hAnsiTheme="minorHAnsi" w:cstheme="minorBidi"/>
          <w:noProof/>
          <w:w w:val="100"/>
          <w:lang w:eastAsia="en-AU" w:bidi="ar-SA"/>
        </w:rPr>
        <w:tab/>
      </w:r>
      <w:r>
        <w:rPr>
          <w:noProof/>
        </w:rPr>
        <w:t>Overloading Systems</w:t>
      </w:r>
      <w:r>
        <w:rPr>
          <w:noProof/>
        </w:rPr>
        <w:tab/>
      </w:r>
      <w:r>
        <w:rPr>
          <w:noProof/>
        </w:rPr>
        <w:fldChar w:fldCharType="begin"/>
      </w:r>
      <w:r>
        <w:rPr>
          <w:noProof/>
        </w:rPr>
        <w:instrText xml:space="preserve"> PAGEREF _Toc411870638 \h </w:instrText>
      </w:r>
      <w:r>
        <w:rPr>
          <w:noProof/>
        </w:rPr>
      </w:r>
      <w:r>
        <w:rPr>
          <w:noProof/>
        </w:rPr>
        <w:fldChar w:fldCharType="separate"/>
      </w:r>
      <w:r>
        <w:rPr>
          <w:noProof/>
        </w:rPr>
        <w:t>22</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8.13</w:t>
      </w:r>
      <w:r>
        <w:rPr>
          <w:rFonts w:asciiTheme="minorHAnsi" w:eastAsiaTheme="minorEastAsia" w:hAnsiTheme="minorHAnsi" w:cstheme="minorBidi"/>
          <w:noProof/>
          <w:w w:val="100"/>
          <w:lang w:eastAsia="en-AU" w:bidi="ar-SA"/>
        </w:rPr>
        <w:tab/>
      </w:r>
      <w:r>
        <w:rPr>
          <w:noProof/>
        </w:rPr>
        <w:t>Overloading Floors and Roofs</w:t>
      </w:r>
      <w:r>
        <w:rPr>
          <w:noProof/>
        </w:rPr>
        <w:tab/>
      </w:r>
      <w:r>
        <w:rPr>
          <w:noProof/>
        </w:rPr>
        <w:fldChar w:fldCharType="begin"/>
      </w:r>
      <w:r>
        <w:rPr>
          <w:noProof/>
        </w:rPr>
        <w:instrText xml:space="preserve"> PAGEREF _Toc411870639 \h </w:instrText>
      </w:r>
      <w:r>
        <w:rPr>
          <w:noProof/>
        </w:rPr>
      </w:r>
      <w:r>
        <w:rPr>
          <w:noProof/>
        </w:rPr>
        <w:fldChar w:fldCharType="separate"/>
      </w:r>
      <w:r>
        <w:rPr>
          <w:noProof/>
        </w:rPr>
        <w:t>22</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8.14</w:t>
      </w:r>
      <w:r>
        <w:rPr>
          <w:rFonts w:asciiTheme="minorHAnsi" w:eastAsiaTheme="minorEastAsia" w:hAnsiTheme="minorHAnsi" w:cstheme="minorBidi"/>
          <w:noProof/>
          <w:w w:val="100"/>
          <w:lang w:eastAsia="en-AU" w:bidi="ar-SA"/>
        </w:rPr>
        <w:tab/>
      </w:r>
      <w:r>
        <w:rPr>
          <w:noProof/>
        </w:rPr>
        <w:t>Liability for customers</w:t>
      </w:r>
      <w:r>
        <w:rPr>
          <w:noProof/>
        </w:rPr>
        <w:tab/>
      </w:r>
      <w:r>
        <w:rPr>
          <w:noProof/>
        </w:rPr>
        <w:fldChar w:fldCharType="begin"/>
      </w:r>
      <w:r>
        <w:rPr>
          <w:noProof/>
        </w:rPr>
        <w:instrText xml:space="preserve"> PAGEREF _Toc411870640 \h </w:instrText>
      </w:r>
      <w:r>
        <w:rPr>
          <w:noProof/>
        </w:rPr>
      </w:r>
      <w:r>
        <w:rPr>
          <w:noProof/>
        </w:rPr>
        <w:fldChar w:fldCharType="separate"/>
      </w:r>
      <w:r>
        <w:rPr>
          <w:noProof/>
        </w:rPr>
        <w:t>22</w:t>
      </w:r>
      <w:r>
        <w:rPr>
          <w:noProof/>
        </w:rPr>
        <w:fldChar w:fldCharType="end"/>
      </w:r>
    </w:p>
    <w:p w:rsidR="001B3D5D" w:rsidRDefault="004D5502">
      <w:pPr>
        <w:pStyle w:val="TOC2"/>
        <w:rPr>
          <w:rFonts w:asciiTheme="minorHAnsi" w:eastAsiaTheme="minorEastAsia" w:hAnsiTheme="minorHAnsi" w:cstheme="minorBidi"/>
          <w:b w:val="0"/>
          <w:bCs w:val="0"/>
          <w:noProof/>
          <w:w w:val="100"/>
          <w:sz w:val="22"/>
          <w:szCs w:val="22"/>
          <w:lang w:eastAsia="en-AU" w:bidi="ar-SA"/>
        </w:rPr>
      </w:pPr>
      <w:r>
        <w:rPr>
          <w:noProof/>
        </w:rPr>
        <w:t>9.</w:t>
      </w:r>
      <w:r>
        <w:rPr>
          <w:rFonts w:asciiTheme="minorHAnsi" w:eastAsiaTheme="minorEastAsia" w:hAnsiTheme="minorHAnsi" w:cstheme="minorBidi"/>
          <w:b w:val="0"/>
          <w:bCs w:val="0"/>
          <w:noProof/>
          <w:w w:val="100"/>
          <w:sz w:val="22"/>
          <w:szCs w:val="22"/>
          <w:lang w:eastAsia="en-AU" w:bidi="ar-SA"/>
        </w:rPr>
        <w:tab/>
      </w:r>
      <w:r>
        <w:rPr>
          <w:noProof/>
        </w:rPr>
        <w:t>Repair and maintenance</w:t>
      </w:r>
      <w:r>
        <w:rPr>
          <w:noProof/>
        </w:rPr>
        <w:tab/>
      </w:r>
      <w:r>
        <w:rPr>
          <w:noProof/>
        </w:rPr>
        <w:fldChar w:fldCharType="begin"/>
      </w:r>
      <w:r>
        <w:rPr>
          <w:noProof/>
        </w:rPr>
        <w:instrText xml:space="preserve"> PAGEREF _Toc411870641 \h </w:instrText>
      </w:r>
      <w:r>
        <w:rPr>
          <w:noProof/>
        </w:rPr>
      </w:r>
      <w:r>
        <w:rPr>
          <w:noProof/>
        </w:rPr>
        <w:fldChar w:fldCharType="separate"/>
      </w:r>
      <w:r>
        <w:rPr>
          <w:noProof/>
        </w:rPr>
        <w:t>23</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9.1</w:t>
      </w:r>
      <w:r>
        <w:rPr>
          <w:rFonts w:asciiTheme="minorHAnsi" w:eastAsiaTheme="minorEastAsia" w:hAnsiTheme="minorHAnsi" w:cstheme="minorBidi"/>
          <w:noProof/>
          <w:w w:val="100"/>
          <w:lang w:eastAsia="en-AU" w:bidi="ar-SA"/>
        </w:rPr>
        <w:tab/>
      </w:r>
      <w:r>
        <w:rPr>
          <w:noProof/>
        </w:rPr>
        <w:t>Maintenance of Premises</w:t>
      </w:r>
      <w:r>
        <w:rPr>
          <w:noProof/>
        </w:rPr>
        <w:tab/>
      </w:r>
      <w:r>
        <w:rPr>
          <w:noProof/>
        </w:rPr>
        <w:fldChar w:fldCharType="begin"/>
      </w:r>
      <w:r>
        <w:rPr>
          <w:noProof/>
        </w:rPr>
        <w:instrText xml:space="preserve"> PAGEREF _Toc411870642 \h </w:instrText>
      </w:r>
      <w:r>
        <w:rPr>
          <w:noProof/>
        </w:rPr>
      </w:r>
      <w:r>
        <w:rPr>
          <w:noProof/>
        </w:rPr>
        <w:fldChar w:fldCharType="separate"/>
      </w:r>
      <w:r>
        <w:rPr>
          <w:noProof/>
        </w:rPr>
        <w:t>23</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9.2</w:t>
      </w:r>
      <w:r>
        <w:rPr>
          <w:rFonts w:asciiTheme="minorHAnsi" w:eastAsiaTheme="minorEastAsia" w:hAnsiTheme="minorHAnsi" w:cstheme="minorBidi"/>
          <w:noProof/>
          <w:w w:val="100"/>
          <w:lang w:eastAsia="en-AU" w:bidi="ar-SA"/>
        </w:rPr>
        <w:tab/>
      </w:r>
      <w:r>
        <w:rPr>
          <w:noProof/>
        </w:rPr>
        <w:t>Maintenance of Tenant's Fixtures</w:t>
      </w:r>
      <w:r>
        <w:rPr>
          <w:noProof/>
        </w:rPr>
        <w:tab/>
      </w:r>
      <w:r>
        <w:rPr>
          <w:noProof/>
        </w:rPr>
        <w:fldChar w:fldCharType="begin"/>
      </w:r>
      <w:r>
        <w:rPr>
          <w:noProof/>
        </w:rPr>
        <w:instrText xml:space="preserve"> PAGEREF _Toc411870643 \h </w:instrText>
      </w:r>
      <w:r>
        <w:rPr>
          <w:noProof/>
        </w:rPr>
      </w:r>
      <w:r>
        <w:rPr>
          <w:noProof/>
        </w:rPr>
        <w:fldChar w:fldCharType="separate"/>
      </w:r>
      <w:r>
        <w:rPr>
          <w:noProof/>
        </w:rPr>
        <w:t>23</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9.3</w:t>
      </w:r>
      <w:r>
        <w:rPr>
          <w:rFonts w:asciiTheme="minorHAnsi" w:eastAsiaTheme="minorEastAsia" w:hAnsiTheme="minorHAnsi" w:cstheme="minorBidi"/>
          <w:noProof/>
          <w:w w:val="100"/>
          <w:lang w:eastAsia="en-AU" w:bidi="ar-SA"/>
        </w:rPr>
        <w:tab/>
      </w:r>
      <w:r>
        <w:rPr>
          <w:noProof/>
        </w:rPr>
        <w:t>Specific obligations</w:t>
      </w:r>
      <w:r>
        <w:rPr>
          <w:noProof/>
        </w:rPr>
        <w:tab/>
      </w:r>
      <w:r>
        <w:rPr>
          <w:noProof/>
        </w:rPr>
        <w:fldChar w:fldCharType="begin"/>
      </w:r>
      <w:r>
        <w:rPr>
          <w:noProof/>
        </w:rPr>
        <w:instrText xml:space="preserve"> PAGEREF _Toc411870644 \h </w:instrText>
      </w:r>
      <w:r>
        <w:rPr>
          <w:noProof/>
        </w:rPr>
      </w:r>
      <w:r>
        <w:rPr>
          <w:noProof/>
        </w:rPr>
        <w:fldChar w:fldCharType="separate"/>
      </w:r>
      <w:r>
        <w:rPr>
          <w:noProof/>
        </w:rPr>
        <w:t>23</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9.4</w:t>
      </w:r>
      <w:r>
        <w:rPr>
          <w:rFonts w:asciiTheme="minorHAnsi" w:eastAsiaTheme="minorEastAsia" w:hAnsiTheme="minorHAnsi" w:cstheme="minorBidi"/>
          <w:noProof/>
          <w:w w:val="100"/>
          <w:lang w:eastAsia="en-AU" w:bidi="ar-SA"/>
        </w:rPr>
        <w:tab/>
      </w:r>
      <w:r>
        <w:rPr>
          <w:noProof/>
        </w:rPr>
        <w:t>Landlord's rights to inspect and carry out repairs</w:t>
      </w:r>
      <w:r>
        <w:rPr>
          <w:noProof/>
        </w:rPr>
        <w:tab/>
      </w:r>
      <w:r>
        <w:rPr>
          <w:noProof/>
        </w:rPr>
        <w:fldChar w:fldCharType="begin"/>
      </w:r>
      <w:r>
        <w:rPr>
          <w:noProof/>
        </w:rPr>
        <w:instrText xml:space="preserve"> PAGEREF _Toc4</w:instrText>
      </w:r>
      <w:r>
        <w:rPr>
          <w:noProof/>
        </w:rPr>
        <w:instrText xml:space="preserve">11870645 \h </w:instrText>
      </w:r>
      <w:r>
        <w:rPr>
          <w:noProof/>
        </w:rPr>
      </w:r>
      <w:r>
        <w:rPr>
          <w:noProof/>
        </w:rPr>
        <w:fldChar w:fldCharType="separate"/>
      </w:r>
      <w:r>
        <w:rPr>
          <w:noProof/>
        </w:rPr>
        <w:t>24</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9.5</w:t>
      </w:r>
      <w:r>
        <w:rPr>
          <w:rFonts w:asciiTheme="minorHAnsi" w:eastAsiaTheme="minorEastAsia" w:hAnsiTheme="minorHAnsi" w:cstheme="minorBidi"/>
          <w:noProof/>
          <w:w w:val="100"/>
          <w:lang w:eastAsia="en-AU" w:bidi="ar-SA"/>
        </w:rPr>
        <w:tab/>
      </w:r>
      <w:r>
        <w:rPr>
          <w:noProof/>
        </w:rPr>
        <w:t>Landlord may carry out works in the Premises</w:t>
      </w:r>
      <w:r>
        <w:rPr>
          <w:noProof/>
        </w:rPr>
        <w:tab/>
      </w:r>
      <w:r>
        <w:rPr>
          <w:noProof/>
        </w:rPr>
        <w:fldChar w:fldCharType="begin"/>
      </w:r>
      <w:r>
        <w:rPr>
          <w:noProof/>
        </w:rPr>
        <w:instrText xml:space="preserve"> PAGEREF _Toc411870646 \h </w:instrText>
      </w:r>
      <w:r>
        <w:rPr>
          <w:noProof/>
        </w:rPr>
      </w:r>
      <w:r>
        <w:rPr>
          <w:noProof/>
        </w:rPr>
        <w:fldChar w:fldCharType="separate"/>
      </w:r>
      <w:r>
        <w:rPr>
          <w:noProof/>
        </w:rPr>
        <w:t>24</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9.6</w:t>
      </w:r>
      <w:r>
        <w:rPr>
          <w:rFonts w:asciiTheme="minorHAnsi" w:eastAsiaTheme="minorEastAsia" w:hAnsiTheme="minorHAnsi" w:cstheme="minorBidi"/>
          <w:noProof/>
          <w:w w:val="100"/>
          <w:lang w:eastAsia="en-AU" w:bidi="ar-SA"/>
        </w:rPr>
        <w:tab/>
      </w:r>
      <w:r>
        <w:rPr>
          <w:noProof/>
        </w:rPr>
        <w:t>Essential Safety Measur</w:t>
      </w:r>
      <w:r>
        <w:rPr>
          <w:noProof/>
        </w:rPr>
        <w:t>es</w:t>
      </w:r>
      <w:r>
        <w:rPr>
          <w:noProof/>
        </w:rPr>
        <w:tab/>
      </w:r>
      <w:r>
        <w:rPr>
          <w:noProof/>
        </w:rPr>
        <w:fldChar w:fldCharType="begin"/>
      </w:r>
      <w:r>
        <w:rPr>
          <w:noProof/>
        </w:rPr>
        <w:instrText xml:space="preserve"> PAGEREF _Toc411870647 \h </w:instrText>
      </w:r>
      <w:r>
        <w:rPr>
          <w:noProof/>
        </w:rPr>
      </w:r>
      <w:r>
        <w:rPr>
          <w:noProof/>
        </w:rPr>
        <w:fldChar w:fldCharType="separate"/>
      </w:r>
      <w:r>
        <w:rPr>
          <w:noProof/>
        </w:rPr>
        <w:t>25</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9.7</w:t>
      </w:r>
      <w:r>
        <w:rPr>
          <w:rFonts w:asciiTheme="minorHAnsi" w:eastAsiaTheme="minorEastAsia" w:hAnsiTheme="minorHAnsi" w:cstheme="minorBidi"/>
          <w:noProof/>
          <w:w w:val="100"/>
          <w:lang w:eastAsia="en-AU" w:bidi="ar-SA"/>
        </w:rPr>
        <w:tab/>
      </w:r>
      <w:r>
        <w:rPr>
          <w:noProof/>
        </w:rPr>
        <w:t>Reporting damage or loss</w:t>
      </w:r>
      <w:r>
        <w:rPr>
          <w:noProof/>
        </w:rPr>
        <w:tab/>
      </w:r>
      <w:r>
        <w:rPr>
          <w:noProof/>
        </w:rPr>
        <w:fldChar w:fldCharType="begin"/>
      </w:r>
      <w:r>
        <w:rPr>
          <w:noProof/>
        </w:rPr>
        <w:instrText xml:space="preserve"> PAGEREF _Toc411870648 \h </w:instrText>
      </w:r>
      <w:r>
        <w:rPr>
          <w:noProof/>
        </w:rPr>
      </w:r>
      <w:r>
        <w:rPr>
          <w:noProof/>
        </w:rPr>
        <w:fldChar w:fldCharType="separate"/>
      </w:r>
      <w:r>
        <w:rPr>
          <w:noProof/>
        </w:rPr>
        <w:t>26</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9.8</w:t>
      </w:r>
      <w:r>
        <w:rPr>
          <w:rFonts w:asciiTheme="minorHAnsi" w:eastAsiaTheme="minorEastAsia" w:hAnsiTheme="minorHAnsi" w:cstheme="minorBidi"/>
          <w:noProof/>
          <w:w w:val="100"/>
          <w:lang w:eastAsia="en-AU" w:bidi="ar-SA"/>
        </w:rPr>
        <w:tab/>
      </w:r>
      <w:r>
        <w:rPr>
          <w:noProof/>
        </w:rPr>
        <w:t>Tenant's works</w:t>
      </w:r>
      <w:r>
        <w:rPr>
          <w:noProof/>
        </w:rPr>
        <w:tab/>
      </w:r>
      <w:r>
        <w:rPr>
          <w:noProof/>
        </w:rPr>
        <w:fldChar w:fldCharType="begin"/>
      </w:r>
      <w:r>
        <w:rPr>
          <w:noProof/>
        </w:rPr>
        <w:instrText xml:space="preserve"> PAGEREF _To</w:instrText>
      </w:r>
      <w:r>
        <w:rPr>
          <w:noProof/>
        </w:rPr>
        <w:instrText xml:space="preserve">c411870649 \h </w:instrText>
      </w:r>
      <w:r>
        <w:rPr>
          <w:noProof/>
        </w:rPr>
      </w:r>
      <w:r>
        <w:rPr>
          <w:noProof/>
        </w:rPr>
        <w:fldChar w:fldCharType="separate"/>
      </w:r>
      <w:r>
        <w:rPr>
          <w:noProof/>
        </w:rPr>
        <w:t>27</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9.9</w:t>
      </w:r>
      <w:r>
        <w:rPr>
          <w:rFonts w:asciiTheme="minorHAnsi" w:eastAsiaTheme="minorEastAsia" w:hAnsiTheme="minorHAnsi" w:cstheme="minorBidi"/>
          <w:noProof/>
          <w:w w:val="100"/>
          <w:lang w:eastAsia="en-AU" w:bidi="ar-SA"/>
        </w:rPr>
        <w:tab/>
      </w:r>
      <w:r>
        <w:rPr>
          <w:noProof/>
        </w:rPr>
        <w:t>Tenant must not do certain works</w:t>
      </w:r>
      <w:r>
        <w:rPr>
          <w:noProof/>
        </w:rPr>
        <w:tab/>
      </w:r>
      <w:r>
        <w:rPr>
          <w:noProof/>
        </w:rPr>
        <w:fldChar w:fldCharType="begin"/>
      </w:r>
      <w:r>
        <w:rPr>
          <w:noProof/>
        </w:rPr>
        <w:instrText xml:space="preserve"> PAGEREF _Toc411870650 \h </w:instrText>
      </w:r>
      <w:r>
        <w:rPr>
          <w:noProof/>
        </w:rPr>
      </w:r>
      <w:r>
        <w:rPr>
          <w:noProof/>
        </w:rPr>
        <w:fldChar w:fldCharType="separate"/>
      </w:r>
      <w:r>
        <w:rPr>
          <w:noProof/>
        </w:rPr>
        <w:t>27</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9.10</w:t>
      </w:r>
      <w:r>
        <w:rPr>
          <w:rFonts w:asciiTheme="minorHAnsi" w:eastAsiaTheme="minorEastAsia" w:hAnsiTheme="minorHAnsi" w:cstheme="minorBidi"/>
          <w:noProof/>
          <w:w w:val="100"/>
          <w:lang w:eastAsia="en-AU" w:bidi="ar-SA"/>
        </w:rPr>
        <w:tab/>
      </w:r>
      <w:r>
        <w:rPr>
          <w:noProof/>
        </w:rPr>
        <w:t>Obligations on termination of lease</w:t>
      </w:r>
      <w:r>
        <w:rPr>
          <w:noProof/>
        </w:rPr>
        <w:tab/>
      </w:r>
      <w:r>
        <w:rPr>
          <w:noProof/>
        </w:rPr>
        <w:fldChar w:fldCharType="begin"/>
      </w:r>
      <w:r>
        <w:rPr>
          <w:noProof/>
        </w:rPr>
        <w:instrText xml:space="preserve"> PAGEREF _Toc411870651 \h </w:instrText>
      </w:r>
      <w:r>
        <w:rPr>
          <w:noProof/>
        </w:rPr>
      </w:r>
      <w:r>
        <w:rPr>
          <w:noProof/>
        </w:rPr>
        <w:fldChar w:fldCharType="separate"/>
      </w:r>
      <w:r>
        <w:rPr>
          <w:noProof/>
        </w:rPr>
        <w:t>28</w:t>
      </w:r>
      <w:r>
        <w:rPr>
          <w:noProof/>
        </w:rPr>
        <w:fldChar w:fldCharType="end"/>
      </w:r>
    </w:p>
    <w:p w:rsidR="001B3D5D" w:rsidRDefault="004D5502">
      <w:pPr>
        <w:pStyle w:val="TOC2"/>
        <w:rPr>
          <w:rFonts w:asciiTheme="minorHAnsi" w:eastAsiaTheme="minorEastAsia" w:hAnsiTheme="minorHAnsi" w:cstheme="minorBidi"/>
          <w:b w:val="0"/>
          <w:bCs w:val="0"/>
          <w:noProof/>
          <w:w w:val="100"/>
          <w:sz w:val="22"/>
          <w:szCs w:val="22"/>
          <w:lang w:eastAsia="en-AU" w:bidi="ar-SA"/>
        </w:rPr>
      </w:pPr>
      <w:r>
        <w:rPr>
          <w:noProof/>
        </w:rPr>
        <w:t>10.</w:t>
      </w:r>
      <w:r>
        <w:rPr>
          <w:rFonts w:asciiTheme="minorHAnsi" w:eastAsiaTheme="minorEastAsia" w:hAnsiTheme="minorHAnsi" w:cstheme="minorBidi"/>
          <w:b w:val="0"/>
          <w:bCs w:val="0"/>
          <w:noProof/>
          <w:w w:val="100"/>
          <w:sz w:val="22"/>
          <w:szCs w:val="22"/>
          <w:lang w:eastAsia="en-AU" w:bidi="ar-SA"/>
        </w:rPr>
        <w:tab/>
      </w:r>
      <w:r>
        <w:rPr>
          <w:noProof/>
        </w:rPr>
        <w:t>Insurances and indemnities</w:t>
      </w:r>
      <w:r>
        <w:rPr>
          <w:noProof/>
        </w:rPr>
        <w:tab/>
      </w:r>
      <w:r>
        <w:rPr>
          <w:noProof/>
        </w:rPr>
        <w:fldChar w:fldCharType="begin"/>
      </w:r>
      <w:r>
        <w:rPr>
          <w:noProof/>
        </w:rPr>
        <w:instrText xml:space="preserve"> PAGEREF _Toc411870652</w:instrText>
      </w:r>
      <w:r>
        <w:rPr>
          <w:noProof/>
        </w:rPr>
        <w:instrText xml:space="preserve"> \h </w:instrText>
      </w:r>
      <w:r>
        <w:rPr>
          <w:noProof/>
        </w:rPr>
      </w:r>
      <w:r>
        <w:rPr>
          <w:noProof/>
        </w:rPr>
        <w:fldChar w:fldCharType="separate"/>
      </w:r>
      <w:r>
        <w:rPr>
          <w:noProof/>
        </w:rPr>
        <w:t>30</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10.1</w:t>
      </w:r>
      <w:r>
        <w:rPr>
          <w:rFonts w:asciiTheme="minorHAnsi" w:eastAsiaTheme="minorEastAsia" w:hAnsiTheme="minorHAnsi" w:cstheme="minorBidi"/>
          <w:noProof/>
          <w:w w:val="100"/>
          <w:lang w:eastAsia="en-AU" w:bidi="ar-SA"/>
        </w:rPr>
        <w:tab/>
      </w:r>
      <w:r>
        <w:rPr>
          <w:noProof/>
        </w:rPr>
        <w:t>Policies of insurance</w:t>
      </w:r>
      <w:r>
        <w:rPr>
          <w:noProof/>
        </w:rPr>
        <w:tab/>
      </w:r>
      <w:r>
        <w:rPr>
          <w:noProof/>
        </w:rPr>
        <w:fldChar w:fldCharType="begin"/>
      </w:r>
      <w:r>
        <w:rPr>
          <w:noProof/>
        </w:rPr>
        <w:instrText xml:space="preserve"> PAGEREF _Toc411870653 \h </w:instrText>
      </w:r>
      <w:r>
        <w:rPr>
          <w:noProof/>
        </w:rPr>
      </w:r>
      <w:r>
        <w:rPr>
          <w:noProof/>
        </w:rPr>
        <w:fldChar w:fldCharType="separate"/>
      </w:r>
      <w:r>
        <w:rPr>
          <w:noProof/>
        </w:rPr>
        <w:t>30</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10.2</w:t>
      </w:r>
      <w:r>
        <w:rPr>
          <w:rFonts w:asciiTheme="minorHAnsi" w:eastAsiaTheme="minorEastAsia" w:hAnsiTheme="minorHAnsi" w:cstheme="minorBidi"/>
          <w:noProof/>
          <w:w w:val="100"/>
          <w:lang w:eastAsia="en-AU" w:bidi="ar-SA"/>
        </w:rPr>
        <w:tab/>
      </w:r>
      <w:r>
        <w:rPr>
          <w:noProof/>
        </w:rPr>
        <w:t>Production of policies of insurance</w:t>
      </w:r>
      <w:r>
        <w:rPr>
          <w:noProof/>
        </w:rPr>
        <w:tab/>
      </w:r>
      <w:r>
        <w:rPr>
          <w:noProof/>
        </w:rPr>
        <w:fldChar w:fldCharType="begin"/>
      </w:r>
      <w:r>
        <w:rPr>
          <w:noProof/>
        </w:rPr>
        <w:instrText xml:space="preserve"> PAGEREF _Toc411</w:instrText>
      </w:r>
      <w:r>
        <w:rPr>
          <w:noProof/>
        </w:rPr>
        <w:instrText xml:space="preserve">870654 \h </w:instrText>
      </w:r>
      <w:r>
        <w:rPr>
          <w:noProof/>
        </w:rPr>
      </w:r>
      <w:r>
        <w:rPr>
          <w:noProof/>
        </w:rPr>
        <w:fldChar w:fldCharType="separate"/>
      </w:r>
      <w:r>
        <w:rPr>
          <w:noProof/>
        </w:rPr>
        <w:t>30</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10.3</w:t>
      </w:r>
      <w:r>
        <w:rPr>
          <w:rFonts w:asciiTheme="minorHAnsi" w:eastAsiaTheme="minorEastAsia" w:hAnsiTheme="minorHAnsi" w:cstheme="minorBidi"/>
          <w:noProof/>
          <w:w w:val="100"/>
          <w:lang w:eastAsia="en-AU" w:bidi="ar-SA"/>
        </w:rPr>
        <w:tab/>
      </w:r>
      <w:r>
        <w:rPr>
          <w:noProof/>
        </w:rPr>
        <w:t>Tenant not to void insurance</w:t>
      </w:r>
      <w:r>
        <w:rPr>
          <w:noProof/>
        </w:rPr>
        <w:tab/>
      </w:r>
      <w:r>
        <w:rPr>
          <w:noProof/>
        </w:rPr>
        <w:fldChar w:fldCharType="begin"/>
      </w:r>
      <w:r>
        <w:rPr>
          <w:noProof/>
        </w:rPr>
        <w:instrText xml:space="preserve"> PAGEREF _Toc411870655 \h </w:instrText>
      </w:r>
      <w:r>
        <w:rPr>
          <w:noProof/>
        </w:rPr>
      </w:r>
      <w:r>
        <w:rPr>
          <w:noProof/>
        </w:rPr>
        <w:fldChar w:fldCharType="separate"/>
      </w:r>
      <w:r>
        <w:rPr>
          <w:noProof/>
        </w:rPr>
        <w:t>31</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10.4</w:t>
      </w:r>
      <w:r>
        <w:rPr>
          <w:rFonts w:asciiTheme="minorHAnsi" w:eastAsiaTheme="minorEastAsia" w:hAnsiTheme="minorHAnsi" w:cstheme="minorBidi"/>
          <w:noProof/>
          <w:w w:val="100"/>
          <w:lang w:eastAsia="en-AU" w:bidi="ar-SA"/>
        </w:rPr>
        <w:tab/>
      </w:r>
      <w:r>
        <w:rPr>
          <w:noProof/>
        </w:rPr>
        <w:t>Payment of additional premiums</w:t>
      </w:r>
      <w:r>
        <w:rPr>
          <w:noProof/>
        </w:rPr>
        <w:tab/>
      </w:r>
      <w:r>
        <w:rPr>
          <w:noProof/>
        </w:rPr>
        <w:fldChar w:fldCharType="begin"/>
      </w:r>
      <w:r>
        <w:rPr>
          <w:noProof/>
        </w:rPr>
        <w:instrText xml:space="preserve"> PAGEREF _Toc411870656 \h </w:instrText>
      </w:r>
      <w:r>
        <w:rPr>
          <w:noProof/>
        </w:rPr>
      </w:r>
      <w:r>
        <w:rPr>
          <w:noProof/>
        </w:rPr>
        <w:fldChar w:fldCharType="separate"/>
      </w:r>
      <w:r>
        <w:rPr>
          <w:noProof/>
        </w:rPr>
        <w:t>31</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10.5</w:t>
      </w:r>
      <w:r>
        <w:rPr>
          <w:rFonts w:asciiTheme="minorHAnsi" w:eastAsiaTheme="minorEastAsia" w:hAnsiTheme="minorHAnsi" w:cstheme="minorBidi"/>
          <w:noProof/>
          <w:w w:val="100"/>
          <w:lang w:eastAsia="en-AU" w:bidi="ar-SA"/>
        </w:rPr>
        <w:tab/>
      </w:r>
      <w:r>
        <w:rPr>
          <w:noProof/>
        </w:rPr>
        <w:t>Tenant's risk</w:t>
      </w:r>
      <w:r>
        <w:rPr>
          <w:noProof/>
        </w:rPr>
        <w:tab/>
      </w:r>
      <w:r>
        <w:rPr>
          <w:noProof/>
        </w:rPr>
        <w:fldChar w:fldCharType="begin"/>
      </w:r>
      <w:r>
        <w:rPr>
          <w:noProof/>
        </w:rPr>
        <w:instrText xml:space="preserve"> PAGEREF _Toc411870657 \h </w:instrText>
      </w:r>
      <w:r>
        <w:rPr>
          <w:noProof/>
        </w:rPr>
      </w:r>
      <w:r>
        <w:rPr>
          <w:noProof/>
        </w:rPr>
        <w:fldChar w:fldCharType="separate"/>
      </w:r>
      <w:r>
        <w:rPr>
          <w:noProof/>
        </w:rPr>
        <w:t>31</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10.6</w:t>
      </w:r>
      <w:r>
        <w:rPr>
          <w:rFonts w:asciiTheme="minorHAnsi" w:eastAsiaTheme="minorEastAsia" w:hAnsiTheme="minorHAnsi" w:cstheme="minorBidi"/>
          <w:noProof/>
          <w:w w:val="100"/>
          <w:lang w:eastAsia="en-AU" w:bidi="ar-SA"/>
        </w:rPr>
        <w:tab/>
      </w:r>
      <w:r>
        <w:rPr>
          <w:noProof/>
        </w:rPr>
        <w:t>Indemnity</w:t>
      </w:r>
      <w:r>
        <w:rPr>
          <w:noProof/>
        </w:rPr>
        <w:tab/>
      </w:r>
      <w:r>
        <w:rPr>
          <w:noProof/>
        </w:rPr>
        <w:fldChar w:fldCharType="begin"/>
      </w:r>
      <w:r>
        <w:rPr>
          <w:noProof/>
        </w:rPr>
        <w:instrText xml:space="preserve"> PAGEREF _Toc411870658 \h </w:instrText>
      </w:r>
      <w:r>
        <w:rPr>
          <w:noProof/>
        </w:rPr>
      </w:r>
      <w:r>
        <w:rPr>
          <w:noProof/>
        </w:rPr>
        <w:fldChar w:fldCharType="separate"/>
      </w:r>
      <w:r>
        <w:rPr>
          <w:noProof/>
        </w:rPr>
        <w:t>31</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10.7</w:t>
      </w:r>
      <w:r>
        <w:rPr>
          <w:rFonts w:asciiTheme="minorHAnsi" w:eastAsiaTheme="minorEastAsia" w:hAnsiTheme="minorHAnsi" w:cstheme="minorBidi"/>
          <w:noProof/>
          <w:w w:val="100"/>
          <w:lang w:eastAsia="en-AU" w:bidi="ar-SA"/>
        </w:rPr>
        <w:tab/>
      </w:r>
      <w:r>
        <w:rPr>
          <w:noProof/>
        </w:rPr>
        <w:t>Release</w:t>
      </w:r>
      <w:r>
        <w:rPr>
          <w:noProof/>
        </w:rPr>
        <w:tab/>
      </w:r>
      <w:r>
        <w:rPr>
          <w:noProof/>
        </w:rPr>
        <w:fldChar w:fldCharType="begin"/>
      </w:r>
      <w:r>
        <w:rPr>
          <w:noProof/>
        </w:rPr>
        <w:instrText xml:space="preserve"> PAGEREF _Toc411870659 \h </w:instrText>
      </w:r>
      <w:r>
        <w:rPr>
          <w:noProof/>
        </w:rPr>
      </w:r>
      <w:r>
        <w:rPr>
          <w:noProof/>
        </w:rPr>
        <w:fldChar w:fldCharType="separate"/>
      </w:r>
      <w:r>
        <w:rPr>
          <w:noProof/>
        </w:rPr>
        <w:t>31</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10.8</w:t>
      </w:r>
      <w:r>
        <w:rPr>
          <w:rFonts w:asciiTheme="minorHAnsi" w:eastAsiaTheme="minorEastAsia" w:hAnsiTheme="minorHAnsi" w:cstheme="minorBidi"/>
          <w:noProof/>
          <w:w w:val="100"/>
          <w:lang w:eastAsia="en-AU" w:bidi="ar-SA"/>
        </w:rPr>
        <w:tab/>
      </w:r>
      <w:r>
        <w:rPr>
          <w:noProof/>
        </w:rPr>
        <w:t>Compliance with lease</w:t>
      </w:r>
      <w:r>
        <w:rPr>
          <w:noProof/>
        </w:rPr>
        <w:tab/>
      </w:r>
      <w:r>
        <w:rPr>
          <w:noProof/>
        </w:rPr>
        <w:fldChar w:fldCharType="begin"/>
      </w:r>
      <w:r>
        <w:rPr>
          <w:noProof/>
        </w:rPr>
        <w:instrText xml:space="preserve"> PAGEREF _Toc411870660 \h </w:instrText>
      </w:r>
      <w:r>
        <w:rPr>
          <w:noProof/>
        </w:rPr>
      </w:r>
      <w:r>
        <w:rPr>
          <w:noProof/>
        </w:rPr>
        <w:fldChar w:fldCharType="separate"/>
      </w:r>
      <w:r>
        <w:rPr>
          <w:noProof/>
        </w:rPr>
        <w:t>32</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10.9</w:t>
      </w:r>
      <w:r>
        <w:rPr>
          <w:rFonts w:asciiTheme="minorHAnsi" w:eastAsiaTheme="minorEastAsia" w:hAnsiTheme="minorHAnsi" w:cstheme="minorBidi"/>
          <w:noProof/>
          <w:w w:val="100"/>
          <w:lang w:eastAsia="en-AU" w:bidi="ar-SA"/>
        </w:rPr>
        <w:tab/>
      </w:r>
      <w:r>
        <w:rPr>
          <w:noProof/>
        </w:rPr>
        <w:t>No merger</w:t>
      </w:r>
      <w:r>
        <w:rPr>
          <w:noProof/>
        </w:rPr>
        <w:tab/>
      </w:r>
      <w:r>
        <w:rPr>
          <w:noProof/>
        </w:rPr>
        <w:fldChar w:fldCharType="begin"/>
      </w:r>
      <w:r>
        <w:rPr>
          <w:noProof/>
        </w:rPr>
        <w:instrText xml:space="preserve"> PAGEREF _Toc411870661 \h </w:instrText>
      </w:r>
      <w:r>
        <w:rPr>
          <w:noProof/>
        </w:rPr>
      </w:r>
      <w:r>
        <w:rPr>
          <w:noProof/>
        </w:rPr>
        <w:fldChar w:fldCharType="separate"/>
      </w:r>
      <w:r>
        <w:rPr>
          <w:noProof/>
        </w:rPr>
        <w:t>32</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10.10</w:t>
      </w:r>
      <w:r>
        <w:rPr>
          <w:rFonts w:asciiTheme="minorHAnsi" w:eastAsiaTheme="minorEastAsia" w:hAnsiTheme="minorHAnsi" w:cstheme="minorBidi"/>
          <w:noProof/>
          <w:w w:val="100"/>
          <w:lang w:eastAsia="en-AU" w:bidi="ar-SA"/>
        </w:rPr>
        <w:tab/>
      </w:r>
      <w:r>
        <w:rPr>
          <w:noProof/>
        </w:rPr>
        <w:t>Occupational Health and Safety</w:t>
      </w:r>
      <w:r>
        <w:rPr>
          <w:noProof/>
        </w:rPr>
        <w:tab/>
      </w:r>
      <w:r>
        <w:rPr>
          <w:noProof/>
        </w:rPr>
        <w:fldChar w:fldCharType="begin"/>
      </w:r>
      <w:r>
        <w:rPr>
          <w:noProof/>
        </w:rPr>
        <w:instrText xml:space="preserve"> PAGEREF _Toc411870662 \h </w:instrText>
      </w:r>
      <w:r>
        <w:rPr>
          <w:noProof/>
        </w:rPr>
      </w:r>
      <w:r>
        <w:rPr>
          <w:noProof/>
        </w:rPr>
        <w:fldChar w:fldCharType="separate"/>
      </w:r>
      <w:r>
        <w:rPr>
          <w:noProof/>
        </w:rPr>
        <w:t>32</w:t>
      </w:r>
      <w:r>
        <w:rPr>
          <w:noProof/>
        </w:rPr>
        <w:fldChar w:fldCharType="end"/>
      </w:r>
    </w:p>
    <w:p w:rsidR="001B3D5D" w:rsidRDefault="004D5502">
      <w:pPr>
        <w:pStyle w:val="TOC2"/>
        <w:rPr>
          <w:rFonts w:asciiTheme="minorHAnsi" w:eastAsiaTheme="minorEastAsia" w:hAnsiTheme="minorHAnsi" w:cstheme="minorBidi"/>
          <w:b w:val="0"/>
          <w:bCs w:val="0"/>
          <w:noProof/>
          <w:w w:val="100"/>
          <w:sz w:val="22"/>
          <w:szCs w:val="22"/>
          <w:lang w:eastAsia="en-AU" w:bidi="ar-SA"/>
        </w:rPr>
      </w:pPr>
      <w:r>
        <w:rPr>
          <w:noProof/>
        </w:rPr>
        <w:t>11.</w:t>
      </w:r>
      <w:r>
        <w:rPr>
          <w:rFonts w:asciiTheme="minorHAnsi" w:eastAsiaTheme="minorEastAsia" w:hAnsiTheme="minorHAnsi" w:cstheme="minorBidi"/>
          <w:b w:val="0"/>
          <w:bCs w:val="0"/>
          <w:noProof/>
          <w:w w:val="100"/>
          <w:sz w:val="22"/>
          <w:szCs w:val="22"/>
          <w:lang w:eastAsia="en-AU" w:bidi="ar-SA"/>
        </w:rPr>
        <w:tab/>
      </w:r>
      <w:r>
        <w:rPr>
          <w:noProof/>
        </w:rPr>
        <w:t>Landlord's obligations</w:t>
      </w:r>
      <w:r>
        <w:rPr>
          <w:noProof/>
        </w:rPr>
        <w:tab/>
      </w:r>
      <w:r>
        <w:rPr>
          <w:noProof/>
        </w:rPr>
        <w:fldChar w:fldCharType="begin"/>
      </w:r>
      <w:r>
        <w:rPr>
          <w:noProof/>
        </w:rPr>
        <w:instrText xml:space="preserve"> PAGEREF _Toc411870663 \h </w:instrText>
      </w:r>
      <w:r>
        <w:rPr>
          <w:noProof/>
        </w:rPr>
      </w:r>
      <w:r>
        <w:rPr>
          <w:noProof/>
        </w:rPr>
        <w:fldChar w:fldCharType="separate"/>
      </w:r>
      <w:r>
        <w:rPr>
          <w:noProof/>
        </w:rPr>
        <w:t>32</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11.1</w:t>
      </w:r>
      <w:r>
        <w:rPr>
          <w:rFonts w:asciiTheme="minorHAnsi" w:eastAsiaTheme="minorEastAsia" w:hAnsiTheme="minorHAnsi" w:cstheme="minorBidi"/>
          <w:noProof/>
          <w:w w:val="100"/>
          <w:lang w:eastAsia="en-AU" w:bidi="ar-SA"/>
        </w:rPr>
        <w:tab/>
      </w:r>
      <w:r>
        <w:rPr>
          <w:noProof/>
        </w:rPr>
        <w:t>Quiet enjoyment</w:t>
      </w:r>
      <w:r>
        <w:rPr>
          <w:noProof/>
        </w:rPr>
        <w:tab/>
      </w:r>
      <w:r>
        <w:rPr>
          <w:noProof/>
        </w:rPr>
        <w:fldChar w:fldCharType="begin"/>
      </w:r>
      <w:r>
        <w:rPr>
          <w:noProof/>
        </w:rPr>
        <w:instrText xml:space="preserve"> PAGEREF _Toc411870664 \h </w:instrText>
      </w:r>
      <w:r>
        <w:rPr>
          <w:noProof/>
        </w:rPr>
      </w:r>
      <w:r>
        <w:rPr>
          <w:noProof/>
        </w:rPr>
        <w:fldChar w:fldCharType="separate"/>
      </w:r>
      <w:r>
        <w:rPr>
          <w:noProof/>
        </w:rPr>
        <w:t>32</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11.2</w:t>
      </w:r>
      <w:r>
        <w:rPr>
          <w:rFonts w:asciiTheme="minorHAnsi" w:eastAsiaTheme="minorEastAsia" w:hAnsiTheme="minorHAnsi" w:cstheme="minorBidi"/>
          <w:noProof/>
          <w:w w:val="100"/>
          <w:lang w:eastAsia="en-AU" w:bidi="ar-SA"/>
        </w:rPr>
        <w:tab/>
      </w:r>
      <w:r>
        <w:rPr>
          <w:noProof/>
        </w:rPr>
        <w:t>Landlord's additional obligations</w:t>
      </w:r>
      <w:r>
        <w:rPr>
          <w:noProof/>
        </w:rPr>
        <w:tab/>
      </w:r>
      <w:r>
        <w:rPr>
          <w:noProof/>
        </w:rPr>
        <w:fldChar w:fldCharType="begin"/>
      </w:r>
      <w:r>
        <w:rPr>
          <w:noProof/>
        </w:rPr>
        <w:instrText xml:space="preserve"> PAGEREF _Toc411870665 \h </w:instrText>
      </w:r>
      <w:r>
        <w:rPr>
          <w:noProof/>
        </w:rPr>
      </w:r>
      <w:r>
        <w:rPr>
          <w:noProof/>
        </w:rPr>
        <w:fldChar w:fldCharType="separate"/>
      </w:r>
      <w:r>
        <w:rPr>
          <w:noProof/>
        </w:rPr>
        <w:t>32</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11.3</w:t>
      </w:r>
      <w:r>
        <w:rPr>
          <w:rFonts w:asciiTheme="minorHAnsi" w:eastAsiaTheme="minorEastAsia" w:hAnsiTheme="minorHAnsi" w:cstheme="minorBidi"/>
          <w:noProof/>
          <w:w w:val="100"/>
          <w:lang w:eastAsia="en-AU" w:bidi="ar-SA"/>
        </w:rPr>
        <w:tab/>
      </w:r>
      <w:r>
        <w:rPr>
          <w:noProof/>
        </w:rPr>
        <w:t>Privacy</w:t>
      </w:r>
      <w:r>
        <w:rPr>
          <w:noProof/>
        </w:rPr>
        <w:tab/>
      </w:r>
      <w:r>
        <w:rPr>
          <w:noProof/>
        </w:rPr>
        <w:fldChar w:fldCharType="begin"/>
      </w:r>
      <w:r>
        <w:rPr>
          <w:noProof/>
        </w:rPr>
        <w:instrText xml:space="preserve"> PAGEREF _Toc411870666 \h </w:instrText>
      </w:r>
      <w:r>
        <w:rPr>
          <w:noProof/>
        </w:rPr>
      </w:r>
      <w:r>
        <w:rPr>
          <w:noProof/>
        </w:rPr>
        <w:fldChar w:fldCharType="separate"/>
      </w:r>
      <w:r>
        <w:rPr>
          <w:noProof/>
        </w:rPr>
        <w:t>33</w:t>
      </w:r>
      <w:r>
        <w:rPr>
          <w:noProof/>
        </w:rPr>
        <w:fldChar w:fldCharType="end"/>
      </w:r>
    </w:p>
    <w:p w:rsidR="001B3D5D" w:rsidRDefault="004D5502">
      <w:pPr>
        <w:pStyle w:val="TOC2"/>
        <w:rPr>
          <w:rFonts w:asciiTheme="minorHAnsi" w:eastAsiaTheme="minorEastAsia" w:hAnsiTheme="minorHAnsi" w:cstheme="minorBidi"/>
          <w:b w:val="0"/>
          <w:bCs w:val="0"/>
          <w:noProof/>
          <w:w w:val="100"/>
          <w:sz w:val="22"/>
          <w:szCs w:val="22"/>
          <w:lang w:eastAsia="en-AU" w:bidi="ar-SA"/>
        </w:rPr>
      </w:pPr>
      <w:r>
        <w:rPr>
          <w:noProof/>
        </w:rPr>
        <w:t>12.</w:t>
      </w:r>
      <w:r>
        <w:rPr>
          <w:rFonts w:asciiTheme="minorHAnsi" w:eastAsiaTheme="minorEastAsia" w:hAnsiTheme="minorHAnsi" w:cstheme="minorBidi"/>
          <w:b w:val="0"/>
          <w:bCs w:val="0"/>
          <w:noProof/>
          <w:w w:val="100"/>
          <w:sz w:val="22"/>
          <w:szCs w:val="22"/>
          <w:lang w:eastAsia="en-AU" w:bidi="ar-SA"/>
        </w:rPr>
        <w:tab/>
      </w:r>
      <w:r>
        <w:rPr>
          <w:noProof/>
        </w:rPr>
        <w:t>Management and operation of the Warehousing Complex and Warehouse Land</w:t>
      </w:r>
      <w:r>
        <w:rPr>
          <w:noProof/>
        </w:rPr>
        <w:tab/>
      </w:r>
      <w:r>
        <w:rPr>
          <w:noProof/>
        </w:rPr>
        <w:fldChar w:fldCharType="begin"/>
      </w:r>
      <w:r>
        <w:rPr>
          <w:noProof/>
        </w:rPr>
        <w:instrText xml:space="preserve"> PAGEREF _Toc411870667 \h </w:instrText>
      </w:r>
      <w:r>
        <w:rPr>
          <w:noProof/>
        </w:rPr>
      </w:r>
      <w:r>
        <w:rPr>
          <w:noProof/>
        </w:rPr>
        <w:fldChar w:fldCharType="separate"/>
      </w:r>
      <w:r>
        <w:rPr>
          <w:noProof/>
        </w:rPr>
        <w:t>33</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12.1</w:t>
      </w:r>
      <w:r>
        <w:rPr>
          <w:rFonts w:asciiTheme="minorHAnsi" w:eastAsiaTheme="minorEastAsia" w:hAnsiTheme="minorHAnsi" w:cstheme="minorBidi"/>
          <w:noProof/>
          <w:w w:val="100"/>
          <w:lang w:eastAsia="en-AU" w:bidi="ar-SA"/>
        </w:rPr>
        <w:tab/>
      </w:r>
      <w:r>
        <w:rPr>
          <w:noProof/>
        </w:rPr>
        <w:t>Common Area</w:t>
      </w:r>
      <w:r>
        <w:rPr>
          <w:noProof/>
        </w:rPr>
        <w:tab/>
      </w:r>
      <w:r>
        <w:rPr>
          <w:noProof/>
        </w:rPr>
        <w:fldChar w:fldCharType="begin"/>
      </w:r>
      <w:r>
        <w:rPr>
          <w:noProof/>
        </w:rPr>
        <w:instrText xml:space="preserve"> PAGEREF _Toc411870668 \h </w:instrText>
      </w:r>
      <w:r>
        <w:rPr>
          <w:noProof/>
        </w:rPr>
      </w:r>
      <w:r>
        <w:rPr>
          <w:noProof/>
        </w:rPr>
        <w:fldChar w:fldCharType="separate"/>
      </w:r>
      <w:r>
        <w:rPr>
          <w:noProof/>
        </w:rPr>
        <w:t>33</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12.2</w:t>
      </w:r>
      <w:r>
        <w:rPr>
          <w:rFonts w:asciiTheme="minorHAnsi" w:eastAsiaTheme="minorEastAsia" w:hAnsiTheme="minorHAnsi" w:cstheme="minorBidi"/>
          <w:noProof/>
          <w:w w:val="100"/>
          <w:lang w:eastAsia="en-AU" w:bidi="ar-SA"/>
        </w:rPr>
        <w:tab/>
      </w:r>
      <w:r>
        <w:rPr>
          <w:noProof/>
        </w:rPr>
        <w:t>Use of the Common Area</w:t>
      </w:r>
      <w:r>
        <w:rPr>
          <w:noProof/>
        </w:rPr>
        <w:tab/>
      </w:r>
      <w:r>
        <w:rPr>
          <w:noProof/>
        </w:rPr>
        <w:fldChar w:fldCharType="begin"/>
      </w:r>
      <w:r>
        <w:rPr>
          <w:noProof/>
        </w:rPr>
        <w:instrText xml:space="preserve"> PAGEREF _Toc411870669 \h </w:instrText>
      </w:r>
      <w:r>
        <w:rPr>
          <w:noProof/>
        </w:rPr>
      </w:r>
      <w:r>
        <w:rPr>
          <w:noProof/>
        </w:rPr>
        <w:fldChar w:fldCharType="separate"/>
      </w:r>
      <w:r>
        <w:rPr>
          <w:noProof/>
        </w:rPr>
        <w:t>33</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12.3</w:t>
      </w:r>
      <w:r>
        <w:rPr>
          <w:rFonts w:asciiTheme="minorHAnsi" w:eastAsiaTheme="minorEastAsia" w:hAnsiTheme="minorHAnsi" w:cstheme="minorBidi"/>
          <w:noProof/>
          <w:w w:val="100"/>
          <w:lang w:eastAsia="en-AU" w:bidi="ar-SA"/>
        </w:rPr>
        <w:tab/>
      </w:r>
      <w:r>
        <w:rPr>
          <w:noProof/>
        </w:rPr>
        <w:t>Operating Rules</w:t>
      </w:r>
      <w:r>
        <w:rPr>
          <w:noProof/>
        </w:rPr>
        <w:tab/>
      </w:r>
      <w:r>
        <w:rPr>
          <w:noProof/>
        </w:rPr>
        <w:fldChar w:fldCharType="begin"/>
      </w:r>
      <w:r>
        <w:rPr>
          <w:noProof/>
        </w:rPr>
        <w:instrText xml:space="preserve"> PAGEREF _Toc411870670 \h </w:instrText>
      </w:r>
      <w:r>
        <w:rPr>
          <w:noProof/>
        </w:rPr>
      </w:r>
      <w:r>
        <w:rPr>
          <w:noProof/>
        </w:rPr>
        <w:fldChar w:fldCharType="separate"/>
      </w:r>
      <w:r>
        <w:rPr>
          <w:noProof/>
        </w:rPr>
        <w:t>34</w:t>
      </w:r>
      <w:r>
        <w:rPr>
          <w:noProof/>
        </w:rPr>
        <w:fldChar w:fldCharType="end"/>
      </w:r>
    </w:p>
    <w:p w:rsidR="001B3D5D" w:rsidRDefault="004D5502">
      <w:pPr>
        <w:pStyle w:val="TOC2"/>
        <w:rPr>
          <w:rFonts w:asciiTheme="minorHAnsi" w:eastAsiaTheme="minorEastAsia" w:hAnsiTheme="minorHAnsi" w:cstheme="minorBidi"/>
          <w:b w:val="0"/>
          <w:bCs w:val="0"/>
          <w:noProof/>
          <w:w w:val="100"/>
          <w:sz w:val="22"/>
          <w:szCs w:val="22"/>
          <w:lang w:eastAsia="en-AU" w:bidi="ar-SA"/>
        </w:rPr>
      </w:pPr>
      <w:r>
        <w:rPr>
          <w:noProof/>
        </w:rPr>
        <w:t>13.</w:t>
      </w:r>
      <w:r>
        <w:rPr>
          <w:rFonts w:asciiTheme="minorHAnsi" w:eastAsiaTheme="minorEastAsia" w:hAnsiTheme="minorHAnsi" w:cstheme="minorBidi"/>
          <w:b w:val="0"/>
          <w:bCs w:val="0"/>
          <w:noProof/>
          <w:w w:val="100"/>
          <w:sz w:val="22"/>
          <w:szCs w:val="22"/>
          <w:lang w:eastAsia="en-AU" w:bidi="ar-SA"/>
        </w:rPr>
        <w:tab/>
      </w:r>
      <w:r>
        <w:rPr>
          <w:noProof/>
        </w:rPr>
        <w:t>Default and termination</w:t>
      </w:r>
      <w:r>
        <w:rPr>
          <w:noProof/>
        </w:rPr>
        <w:tab/>
      </w:r>
      <w:r>
        <w:rPr>
          <w:noProof/>
        </w:rPr>
        <w:fldChar w:fldCharType="begin"/>
      </w:r>
      <w:r>
        <w:rPr>
          <w:noProof/>
        </w:rPr>
        <w:instrText xml:space="preserve"> PAGEREF _Toc411870671 \h </w:instrText>
      </w:r>
      <w:r>
        <w:rPr>
          <w:noProof/>
        </w:rPr>
      </w:r>
      <w:r>
        <w:rPr>
          <w:noProof/>
        </w:rPr>
        <w:fldChar w:fldCharType="separate"/>
      </w:r>
      <w:r>
        <w:rPr>
          <w:noProof/>
        </w:rPr>
        <w:t>34</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13.1</w:t>
      </w:r>
      <w:r>
        <w:rPr>
          <w:rFonts w:asciiTheme="minorHAnsi" w:eastAsiaTheme="minorEastAsia" w:hAnsiTheme="minorHAnsi" w:cstheme="minorBidi"/>
          <w:noProof/>
          <w:w w:val="100"/>
          <w:lang w:eastAsia="en-AU" w:bidi="ar-SA"/>
        </w:rPr>
        <w:tab/>
      </w:r>
      <w:r>
        <w:rPr>
          <w:noProof/>
        </w:rPr>
        <w:t>Tenant's default</w:t>
      </w:r>
      <w:r>
        <w:rPr>
          <w:noProof/>
        </w:rPr>
        <w:tab/>
      </w:r>
      <w:r>
        <w:rPr>
          <w:noProof/>
        </w:rPr>
        <w:fldChar w:fldCharType="begin"/>
      </w:r>
      <w:r>
        <w:rPr>
          <w:noProof/>
        </w:rPr>
        <w:instrText xml:space="preserve"> PAGEREF _Toc411870672 \h </w:instrText>
      </w:r>
      <w:r>
        <w:rPr>
          <w:noProof/>
        </w:rPr>
      </w:r>
      <w:r>
        <w:rPr>
          <w:noProof/>
        </w:rPr>
        <w:fldChar w:fldCharType="separate"/>
      </w:r>
      <w:r>
        <w:rPr>
          <w:noProof/>
        </w:rPr>
        <w:t>34</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13.2</w:t>
      </w:r>
      <w:r>
        <w:rPr>
          <w:rFonts w:asciiTheme="minorHAnsi" w:eastAsiaTheme="minorEastAsia" w:hAnsiTheme="minorHAnsi" w:cstheme="minorBidi"/>
          <w:noProof/>
          <w:w w:val="100"/>
          <w:lang w:eastAsia="en-AU" w:bidi="ar-SA"/>
        </w:rPr>
        <w:tab/>
      </w:r>
      <w:r>
        <w:rPr>
          <w:noProof/>
        </w:rPr>
        <w:t>Statutory notice</w:t>
      </w:r>
      <w:r>
        <w:rPr>
          <w:noProof/>
        </w:rPr>
        <w:tab/>
      </w:r>
      <w:r>
        <w:rPr>
          <w:noProof/>
        </w:rPr>
        <w:fldChar w:fldCharType="begin"/>
      </w:r>
      <w:r>
        <w:rPr>
          <w:noProof/>
        </w:rPr>
        <w:instrText xml:space="preserve"> PAGEREF _Toc411870673 \h </w:instrText>
      </w:r>
      <w:r>
        <w:rPr>
          <w:noProof/>
        </w:rPr>
      </w:r>
      <w:r>
        <w:rPr>
          <w:noProof/>
        </w:rPr>
        <w:fldChar w:fldCharType="separate"/>
      </w:r>
      <w:r>
        <w:rPr>
          <w:noProof/>
        </w:rPr>
        <w:t>34</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13.3</w:t>
      </w:r>
      <w:r>
        <w:rPr>
          <w:rFonts w:asciiTheme="minorHAnsi" w:eastAsiaTheme="minorEastAsia" w:hAnsiTheme="minorHAnsi" w:cstheme="minorBidi"/>
          <w:noProof/>
          <w:w w:val="100"/>
          <w:lang w:eastAsia="en-AU" w:bidi="ar-SA"/>
        </w:rPr>
        <w:tab/>
      </w:r>
      <w:r>
        <w:rPr>
          <w:noProof/>
        </w:rPr>
        <w:t>Loss of bargain</w:t>
      </w:r>
      <w:r>
        <w:rPr>
          <w:noProof/>
        </w:rPr>
        <w:tab/>
      </w:r>
      <w:r>
        <w:rPr>
          <w:noProof/>
        </w:rPr>
        <w:fldChar w:fldCharType="begin"/>
      </w:r>
      <w:r>
        <w:rPr>
          <w:noProof/>
        </w:rPr>
        <w:instrText xml:space="preserve"> PAGEREF _Toc411870674 \h </w:instrText>
      </w:r>
      <w:r>
        <w:rPr>
          <w:noProof/>
        </w:rPr>
      </w:r>
      <w:r>
        <w:rPr>
          <w:noProof/>
        </w:rPr>
        <w:fldChar w:fldCharType="separate"/>
      </w:r>
      <w:r>
        <w:rPr>
          <w:noProof/>
        </w:rPr>
        <w:t>35</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13.4</w:t>
      </w:r>
      <w:r>
        <w:rPr>
          <w:rFonts w:asciiTheme="minorHAnsi" w:eastAsiaTheme="minorEastAsia" w:hAnsiTheme="minorHAnsi" w:cstheme="minorBidi"/>
          <w:noProof/>
          <w:w w:val="100"/>
          <w:lang w:eastAsia="en-AU" w:bidi="ar-SA"/>
        </w:rPr>
        <w:tab/>
      </w:r>
      <w:r>
        <w:rPr>
          <w:noProof/>
        </w:rPr>
        <w:t>Essential terms</w:t>
      </w:r>
      <w:r>
        <w:rPr>
          <w:noProof/>
        </w:rPr>
        <w:tab/>
      </w:r>
      <w:r>
        <w:rPr>
          <w:noProof/>
        </w:rPr>
        <w:fldChar w:fldCharType="begin"/>
      </w:r>
      <w:r>
        <w:rPr>
          <w:noProof/>
        </w:rPr>
        <w:instrText xml:space="preserve"> PAGEREF _Toc411870675 \h </w:instrText>
      </w:r>
      <w:r>
        <w:rPr>
          <w:noProof/>
        </w:rPr>
      </w:r>
      <w:r>
        <w:rPr>
          <w:noProof/>
        </w:rPr>
        <w:fldChar w:fldCharType="separate"/>
      </w:r>
      <w:r>
        <w:rPr>
          <w:noProof/>
        </w:rPr>
        <w:t>35</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13.5</w:t>
      </w:r>
      <w:r>
        <w:rPr>
          <w:rFonts w:asciiTheme="minorHAnsi" w:eastAsiaTheme="minorEastAsia" w:hAnsiTheme="minorHAnsi" w:cstheme="minorBidi"/>
          <w:noProof/>
          <w:w w:val="100"/>
          <w:lang w:eastAsia="en-AU" w:bidi="ar-SA"/>
        </w:rPr>
        <w:tab/>
      </w:r>
      <w:r>
        <w:rPr>
          <w:noProof/>
        </w:rPr>
        <w:t>Liabilities on termination</w:t>
      </w:r>
      <w:r>
        <w:rPr>
          <w:noProof/>
        </w:rPr>
        <w:tab/>
      </w:r>
      <w:r>
        <w:rPr>
          <w:noProof/>
        </w:rPr>
        <w:fldChar w:fldCharType="begin"/>
      </w:r>
      <w:r>
        <w:rPr>
          <w:noProof/>
        </w:rPr>
        <w:instrText xml:space="preserve"> PAGEREF _Toc411870676 \h </w:instrText>
      </w:r>
      <w:r>
        <w:rPr>
          <w:noProof/>
        </w:rPr>
      </w:r>
      <w:r>
        <w:rPr>
          <w:noProof/>
        </w:rPr>
        <w:fldChar w:fldCharType="separate"/>
      </w:r>
      <w:r>
        <w:rPr>
          <w:noProof/>
        </w:rPr>
        <w:t>35</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13.6</w:t>
      </w:r>
      <w:r>
        <w:rPr>
          <w:rFonts w:asciiTheme="minorHAnsi" w:eastAsiaTheme="minorEastAsia" w:hAnsiTheme="minorHAnsi" w:cstheme="minorBidi"/>
          <w:noProof/>
          <w:w w:val="100"/>
          <w:lang w:eastAsia="en-AU" w:bidi="ar-SA"/>
        </w:rPr>
        <w:tab/>
      </w:r>
      <w:r>
        <w:rPr>
          <w:noProof/>
        </w:rPr>
        <w:t>Indemnity for default</w:t>
      </w:r>
      <w:r>
        <w:rPr>
          <w:noProof/>
        </w:rPr>
        <w:tab/>
      </w:r>
      <w:r>
        <w:rPr>
          <w:noProof/>
        </w:rPr>
        <w:fldChar w:fldCharType="begin"/>
      </w:r>
      <w:r>
        <w:rPr>
          <w:noProof/>
        </w:rPr>
        <w:instrText xml:space="preserve"> PAGEREF _Toc411870677 \h </w:instrText>
      </w:r>
      <w:r>
        <w:rPr>
          <w:noProof/>
        </w:rPr>
      </w:r>
      <w:r>
        <w:rPr>
          <w:noProof/>
        </w:rPr>
        <w:fldChar w:fldCharType="separate"/>
      </w:r>
      <w:r>
        <w:rPr>
          <w:noProof/>
        </w:rPr>
        <w:t>35</w:t>
      </w:r>
      <w:r>
        <w:rPr>
          <w:noProof/>
        </w:rPr>
        <w:fldChar w:fldCharType="end"/>
      </w:r>
    </w:p>
    <w:p w:rsidR="001B3D5D" w:rsidRDefault="004D5502">
      <w:pPr>
        <w:pStyle w:val="TOC2"/>
        <w:rPr>
          <w:rFonts w:asciiTheme="minorHAnsi" w:eastAsiaTheme="minorEastAsia" w:hAnsiTheme="minorHAnsi" w:cstheme="minorBidi"/>
          <w:b w:val="0"/>
          <w:bCs w:val="0"/>
          <w:noProof/>
          <w:w w:val="100"/>
          <w:sz w:val="22"/>
          <w:szCs w:val="22"/>
          <w:lang w:eastAsia="en-AU" w:bidi="ar-SA"/>
        </w:rPr>
      </w:pPr>
      <w:r>
        <w:rPr>
          <w:noProof/>
        </w:rPr>
        <w:t>14.</w:t>
      </w:r>
      <w:r>
        <w:rPr>
          <w:rFonts w:asciiTheme="minorHAnsi" w:eastAsiaTheme="minorEastAsia" w:hAnsiTheme="minorHAnsi" w:cstheme="minorBidi"/>
          <w:b w:val="0"/>
          <w:bCs w:val="0"/>
          <w:noProof/>
          <w:w w:val="100"/>
          <w:sz w:val="22"/>
          <w:szCs w:val="22"/>
          <w:lang w:eastAsia="en-AU" w:bidi="ar-SA"/>
        </w:rPr>
        <w:tab/>
      </w:r>
      <w:r>
        <w:rPr>
          <w:noProof/>
        </w:rPr>
        <w:t>Damage or destruction</w:t>
      </w:r>
      <w:r>
        <w:rPr>
          <w:noProof/>
        </w:rPr>
        <w:tab/>
      </w:r>
      <w:r>
        <w:rPr>
          <w:noProof/>
        </w:rPr>
        <w:fldChar w:fldCharType="begin"/>
      </w:r>
      <w:r>
        <w:rPr>
          <w:noProof/>
        </w:rPr>
        <w:instrText xml:space="preserve"> PAGEREF _Toc411870678 \h </w:instrText>
      </w:r>
      <w:r>
        <w:rPr>
          <w:noProof/>
        </w:rPr>
      </w:r>
      <w:r>
        <w:rPr>
          <w:noProof/>
        </w:rPr>
        <w:fldChar w:fldCharType="separate"/>
      </w:r>
      <w:r>
        <w:rPr>
          <w:noProof/>
        </w:rPr>
        <w:t>35</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lastRenderedPageBreak/>
        <w:t>14.1</w:t>
      </w:r>
      <w:r>
        <w:rPr>
          <w:rFonts w:asciiTheme="minorHAnsi" w:eastAsiaTheme="minorEastAsia" w:hAnsiTheme="minorHAnsi" w:cstheme="minorBidi"/>
          <w:noProof/>
          <w:w w:val="100"/>
          <w:lang w:eastAsia="en-AU" w:bidi="ar-SA"/>
        </w:rPr>
        <w:tab/>
      </w:r>
      <w:r>
        <w:rPr>
          <w:noProof/>
        </w:rPr>
        <w:t>Suspension of Rent</w:t>
      </w:r>
      <w:r>
        <w:rPr>
          <w:noProof/>
        </w:rPr>
        <w:tab/>
      </w:r>
      <w:r>
        <w:rPr>
          <w:noProof/>
        </w:rPr>
        <w:fldChar w:fldCharType="begin"/>
      </w:r>
      <w:r>
        <w:rPr>
          <w:noProof/>
        </w:rPr>
        <w:instrText xml:space="preserve"> PAGEREF _Toc411870679 \h </w:instrText>
      </w:r>
      <w:r>
        <w:rPr>
          <w:noProof/>
        </w:rPr>
      </w:r>
      <w:r>
        <w:rPr>
          <w:noProof/>
        </w:rPr>
        <w:fldChar w:fldCharType="separate"/>
      </w:r>
      <w:r>
        <w:rPr>
          <w:noProof/>
        </w:rPr>
        <w:t>35</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14.2</w:t>
      </w:r>
      <w:r>
        <w:rPr>
          <w:rFonts w:asciiTheme="minorHAnsi" w:eastAsiaTheme="minorEastAsia" w:hAnsiTheme="minorHAnsi" w:cstheme="minorBidi"/>
          <w:noProof/>
          <w:w w:val="100"/>
          <w:lang w:eastAsia="en-AU" w:bidi="ar-SA"/>
        </w:rPr>
        <w:tab/>
      </w:r>
      <w:r>
        <w:rPr>
          <w:noProof/>
        </w:rPr>
        <w:t>Reinstatement of Premises</w:t>
      </w:r>
      <w:r>
        <w:rPr>
          <w:noProof/>
        </w:rPr>
        <w:tab/>
      </w:r>
      <w:r>
        <w:rPr>
          <w:noProof/>
        </w:rPr>
        <w:fldChar w:fldCharType="begin"/>
      </w:r>
      <w:r>
        <w:rPr>
          <w:noProof/>
        </w:rPr>
        <w:instrText xml:space="preserve"> PAGEREF _Toc411870680 \h </w:instrText>
      </w:r>
      <w:r>
        <w:rPr>
          <w:noProof/>
        </w:rPr>
      </w:r>
      <w:r>
        <w:rPr>
          <w:noProof/>
        </w:rPr>
        <w:fldChar w:fldCharType="separate"/>
      </w:r>
      <w:r>
        <w:rPr>
          <w:noProof/>
        </w:rPr>
        <w:t>35</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14.3</w:t>
      </w:r>
      <w:r>
        <w:rPr>
          <w:rFonts w:asciiTheme="minorHAnsi" w:eastAsiaTheme="minorEastAsia" w:hAnsiTheme="minorHAnsi" w:cstheme="minorBidi"/>
          <w:noProof/>
          <w:w w:val="100"/>
          <w:lang w:eastAsia="en-AU" w:bidi="ar-SA"/>
        </w:rPr>
        <w:tab/>
      </w:r>
      <w:r>
        <w:rPr>
          <w:noProof/>
        </w:rPr>
        <w:t>No Suspension of Rent</w:t>
      </w:r>
      <w:r>
        <w:rPr>
          <w:noProof/>
        </w:rPr>
        <w:tab/>
      </w:r>
      <w:r>
        <w:rPr>
          <w:noProof/>
        </w:rPr>
        <w:fldChar w:fldCharType="begin"/>
      </w:r>
      <w:r>
        <w:rPr>
          <w:noProof/>
        </w:rPr>
        <w:instrText xml:space="preserve"> PAGEREF _Toc411870681 \h </w:instrText>
      </w:r>
      <w:r>
        <w:rPr>
          <w:noProof/>
        </w:rPr>
      </w:r>
      <w:r>
        <w:rPr>
          <w:noProof/>
        </w:rPr>
        <w:fldChar w:fldCharType="separate"/>
      </w:r>
      <w:r>
        <w:rPr>
          <w:noProof/>
        </w:rPr>
        <w:t>35</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14.4</w:t>
      </w:r>
      <w:r>
        <w:rPr>
          <w:rFonts w:asciiTheme="minorHAnsi" w:eastAsiaTheme="minorEastAsia" w:hAnsiTheme="minorHAnsi" w:cstheme="minorBidi"/>
          <w:noProof/>
          <w:w w:val="100"/>
          <w:lang w:eastAsia="en-AU" w:bidi="ar-SA"/>
        </w:rPr>
        <w:tab/>
      </w:r>
      <w:r>
        <w:rPr>
          <w:noProof/>
        </w:rPr>
        <w:t>Previous Breach</w:t>
      </w:r>
      <w:r>
        <w:rPr>
          <w:noProof/>
        </w:rPr>
        <w:tab/>
      </w:r>
      <w:r>
        <w:rPr>
          <w:noProof/>
        </w:rPr>
        <w:fldChar w:fldCharType="begin"/>
      </w:r>
      <w:r>
        <w:rPr>
          <w:noProof/>
        </w:rPr>
        <w:instrText xml:space="preserve"> PAGEREF _Toc411870682 \h </w:instrText>
      </w:r>
      <w:r>
        <w:rPr>
          <w:noProof/>
        </w:rPr>
      </w:r>
      <w:r>
        <w:rPr>
          <w:noProof/>
        </w:rPr>
        <w:fldChar w:fldCharType="separate"/>
      </w:r>
      <w:r>
        <w:rPr>
          <w:noProof/>
        </w:rPr>
        <w:t>35</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14.5</w:t>
      </w:r>
      <w:r>
        <w:rPr>
          <w:rFonts w:asciiTheme="minorHAnsi" w:eastAsiaTheme="minorEastAsia" w:hAnsiTheme="minorHAnsi" w:cstheme="minorBidi"/>
          <w:noProof/>
          <w:w w:val="100"/>
          <w:lang w:eastAsia="en-AU" w:bidi="ar-SA"/>
        </w:rPr>
        <w:tab/>
      </w:r>
      <w:r>
        <w:rPr>
          <w:noProof/>
        </w:rPr>
        <w:t>No Obligation to Reinstate</w:t>
      </w:r>
      <w:r>
        <w:rPr>
          <w:noProof/>
        </w:rPr>
        <w:tab/>
      </w:r>
      <w:r>
        <w:rPr>
          <w:noProof/>
        </w:rPr>
        <w:fldChar w:fldCharType="begin"/>
      </w:r>
      <w:r>
        <w:rPr>
          <w:noProof/>
        </w:rPr>
        <w:instrText xml:space="preserve"> PAGEREF _Toc411870683 \h </w:instrText>
      </w:r>
      <w:r>
        <w:rPr>
          <w:noProof/>
        </w:rPr>
      </w:r>
      <w:r>
        <w:rPr>
          <w:noProof/>
        </w:rPr>
        <w:fldChar w:fldCharType="separate"/>
      </w:r>
      <w:r>
        <w:rPr>
          <w:noProof/>
        </w:rPr>
        <w:t>36</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14.6</w:t>
      </w:r>
      <w:r>
        <w:rPr>
          <w:rFonts w:asciiTheme="minorHAnsi" w:eastAsiaTheme="minorEastAsia" w:hAnsiTheme="minorHAnsi" w:cstheme="minorBidi"/>
          <w:noProof/>
          <w:w w:val="100"/>
          <w:lang w:eastAsia="en-AU" w:bidi="ar-SA"/>
        </w:rPr>
        <w:tab/>
      </w:r>
      <w:r>
        <w:rPr>
          <w:noProof/>
        </w:rPr>
        <w:t>Liabilities on termination</w:t>
      </w:r>
      <w:r>
        <w:rPr>
          <w:noProof/>
        </w:rPr>
        <w:tab/>
      </w:r>
      <w:r>
        <w:rPr>
          <w:noProof/>
        </w:rPr>
        <w:fldChar w:fldCharType="begin"/>
      </w:r>
      <w:r>
        <w:rPr>
          <w:noProof/>
        </w:rPr>
        <w:instrText xml:space="preserve"> PAGEREF _Toc411870684 \h </w:instrText>
      </w:r>
      <w:r>
        <w:rPr>
          <w:noProof/>
        </w:rPr>
      </w:r>
      <w:r>
        <w:rPr>
          <w:noProof/>
        </w:rPr>
        <w:fldChar w:fldCharType="separate"/>
      </w:r>
      <w:r>
        <w:rPr>
          <w:noProof/>
        </w:rPr>
        <w:t>36</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14.7</w:t>
      </w:r>
      <w:r>
        <w:rPr>
          <w:rFonts w:asciiTheme="minorHAnsi" w:eastAsiaTheme="minorEastAsia" w:hAnsiTheme="minorHAnsi" w:cstheme="minorBidi"/>
          <w:noProof/>
          <w:w w:val="100"/>
          <w:lang w:eastAsia="en-AU" w:bidi="ar-SA"/>
        </w:rPr>
        <w:tab/>
      </w:r>
      <w:r>
        <w:rPr>
          <w:noProof/>
        </w:rPr>
        <w:t>Dispute</w:t>
      </w:r>
      <w:r>
        <w:rPr>
          <w:noProof/>
        </w:rPr>
        <w:tab/>
      </w:r>
      <w:r>
        <w:rPr>
          <w:noProof/>
        </w:rPr>
        <w:fldChar w:fldCharType="begin"/>
      </w:r>
      <w:r>
        <w:rPr>
          <w:noProof/>
        </w:rPr>
        <w:instrText xml:space="preserve"> PAGEREF _Toc411870685 \h </w:instrText>
      </w:r>
      <w:r>
        <w:rPr>
          <w:noProof/>
        </w:rPr>
      </w:r>
      <w:r>
        <w:rPr>
          <w:noProof/>
        </w:rPr>
        <w:fldChar w:fldCharType="separate"/>
      </w:r>
      <w:r>
        <w:rPr>
          <w:noProof/>
        </w:rPr>
        <w:t>36</w:t>
      </w:r>
      <w:r>
        <w:rPr>
          <w:noProof/>
        </w:rPr>
        <w:fldChar w:fldCharType="end"/>
      </w:r>
    </w:p>
    <w:p w:rsidR="001B3D5D" w:rsidRDefault="004D5502">
      <w:pPr>
        <w:pStyle w:val="TOC2"/>
        <w:rPr>
          <w:rFonts w:asciiTheme="minorHAnsi" w:eastAsiaTheme="minorEastAsia" w:hAnsiTheme="minorHAnsi" w:cstheme="minorBidi"/>
          <w:b w:val="0"/>
          <w:bCs w:val="0"/>
          <w:noProof/>
          <w:w w:val="100"/>
          <w:sz w:val="22"/>
          <w:szCs w:val="22"/>
          <w:lang w:eastAsia="en-AU" w:bidi="ar-SA"/>
        </w:rPr>
      </w:pPr>
      <w:r>
        <w:rPr>
          <w:noProof/>
        </w:rPr>
        <w:t>15.</w:t>
      </w:r>
      <w:r>
        <w:rPr>
          <w:rFonts w:asciiTheme="minorHAnsi" w:eastAsiaTheme="minorEastAsia" w:hAnsiTheme="minorHAnsi" w:cstheme="minorBidi"/>
          <w:b w:val="0"/>
          <w:bCs w:val="0"/>
          <w:noProof/>
          <w:w w:val="100"/>
          <w:sz w:val="22"/>
          <w:szCs w:val="22"/>
          <w:lang w:eastAsia="en-AU" w:bidi="ar-SA"/>
        </w:rPr>
        <w:tab/>
      </w:r>
      <w:r>
        <w:rPr>
          <w:noProof/>
        </w:rPr>
        <w:t>Notices</w:t>
      </w:r>
      <w:r>
        <w:rPr>
          <w:noProof/>
        </w:rPr>
        <w:tab/>
      </w:r>
      <w:r>
        <w:rPr>
          <w:noProof/>
        </w:rPr>
        <w:fldChar w:fldCharType="begin"/>
      </w:r>
      <w:r>
        <w:rPr>
          <w:noProof/>
        </w:rPr>
        <w:instrText xml:space="preserve"> PAGEREF _Toc411870686 \h </w:instrText>
      </w:r>
      <w:r>
        <w:rPr>
          <w:noProof/>
        </w:rPr>
      </w:r>
      <w:r>
        <w:rPr>
          <w:noProof/>
        </w:rPr>
        <w:fldChar w:fldCharType="separate"/>
      </w:r>
      <w:r>
        <w:rPr>
          <w:noProof/>
        </w:rPr>
        <w:t>36</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15.1</w:t>
      </w:r>
      <w:r>
        <w:rPr>
          <w:rFonts w:asciiTheme="minorHAnsi" w:eastAsiaTheme="minorEastAsia" w:hAnsiTheme="minorHAnsi" w:cstheme="minorBidi"/>
          <w:noProof/>
          <w:w w:val="100"/>
          <w:lang w:eastAsia="en-AU" w:bidi="ar-SA"/>
        </w:rPr>
        <w:tab/>
      </w:r>
      <w:r>
        <w:rPr>
          <w:noProof/>
        </w:rPr>
        <w:t>Method of service</w:t>
      </w:r>
      <w:r>
        <w:rPr>
          <w:noProof/>
        </w:rPr>
        <w:tab/>
      </w:r>
      <w:r>
        <w:rPr>
          <w:noProof/>
        </w:rPr>
        <w:fldChar w:fldCharType="begin"/>
      </w:r>
      <w:r>
        <w:rPr>
          <w:noProof/>
        </w:rPr>
        <w:instrText xml:space="preserve"> PAGEREF _Toc411870687 \h </w:instrText>
      </w:r>
      <w:r>
        <w:rPr>
          <w:noProof/>
        </w:rPr>
      </w:r>
      <w:r>
        <w:rPr>
          <w:noProof/>
        </w:rPr>
        <w:fldChar w:fldCharType="separate"/>
      </w:r>
      <w:r>
        <w:rPr>
          <w:noProof/>
        </w:rPr>
        <w:t>36</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15.2</w:t>
      </w:r>
      <w:r>
        <w:rPr>
          <w:rFonts w:asciiTheme="minorHAnsi" w:eastAsiaTheme="minorEastAsia" w:hAnsiTheme="minorHAnsi" w:cstheme="minorBidi"/>
          <w:noProof/>
          <w:w w:val="100"/>
          <w:lang w:eastAsia="en-AU" w:bidi="ar-SA"/>
        </w:rPr>
        <w:tab/>
      </w:r>
      <w:r>
        <w:rPr>
          <w:noProof/>
        </w:rPr>
        <w:t>Time of service</w:t>
      </w:r>
      <w:r>
        <w:rPr>
          <w:noProof/>
        </w:rPr>
        <w:tab/>
      </w:r>
      <w:r>
        <w:rPr>
          <w:noProof/>
        </w:rPr>
        <w:fldChar w:fldCharType="begin"/>
      </w:r>
      <w:r>
        <w:rPr>
          <w:noProof/>
        </w:rPr>
        <w:instrText xml:space="preserve"> PAGEREF _Toc411870688 \h </w:instrText>
      </w:r>
      <w:r>
        <w:rPr>
          <w:noProof/>
        </w:rPr>
      </w:r>
      <w:r>
        <w:rPr>
          <w:noProof/>
        </w:rPr>
        <w:fldChar w:fldCharType="separate"/>
      </w:r>
      <w:r>
        <w:rPr>
          <w:noProof/>
        </w:rPr>
        <w:t>36</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15.3</w:t>
      </w:r>
      <w:r>
        <w:rPr>
          <w:rFonts w:asciiTheme="minorHAnsi" w:eastAsiaTheme="minorEastAsia" w:hAnsiTheme="minorHAnsi" w:cstheme="minorBidi"/>
          <w:noProof/>
          <w:w w:val="100"/>
          <w:lang w:eastAsia="en-AU" w:bidi="ar-SA"/>
        </w:rPr>
        <w:tab/>
      </w:r>
      <w:r>
        <w:rPr>
          <w:noProof/>
        </w:rPr>
        <w:t>Change of address</w:t>
      </w:r>
      <w:r>
        <w:rPr>
          <w:noProof/>
        </w:rPr>
        <w:tab/>
      </w:r>
      <w:r>
        <w:rPr>
          <w:noProof/>
        </w:rPr>
        <w:fldChar w:fldCharType="begin"/>
      </w:r>
      <w:r>
        <w:rPr>
          <w:noProof/>
        </w:rPr>
        <w:instrText xml:space="preserve"> PAGEREF _Toc411870689 \h </w:instrText>
      </w:r>
      <w:r>
        <w:rPr>
          <w:noProof/>
        </w:rPr>
      </w:r>
      <w:r>
        <w:rPr>
          <w:noProof/>
        </w:rPr>
        <w:fldChar w:fldCharType="separate"/>
      </w:r>
      <w:r>
        <w:rPr>
          <w:noProof/>
        </w:rPr>
        <w:t>36</w:t>
      </w:r>
      <w:r>
        <w:rPr>
          <w:noProof/>
        </w:rPr>
        <w:fldChar w:fldCharType="end"/>
      </w:r>
    </w:p>
    <w:p w:rsidR="001B3D5D" w:rsidRDefault="004D5502">
      <w:pPr>
        <w:pStyle w:val="TOC2"/>
        <w:rPr>
          <w:rFonts w:asciiTheme="minorHAnsi" w:eastAsiaTheme="minorEastAsia" w:hAnsiTheme="minorHAnsi" w:cstheme="minorBidi"/>
          <w:b w:val="0"/>
          <w:bCs w:val="0"/>
          <w:noProof/>
          <w:w w:val="100"/>
          <w:sz w:val="22"/>
          <w:szCs w:val="22"/>
          <w:lang w:eastAsia="en-AU" w:bidi="ar-SA"/>
        </w:rPr>
      </w:pPr>
      <w:r>
        <w:rPr>
          <w:noProof/>
        </w:rPr>
        <w:t>16.</w:t>
      </w:r>
      <w:r>
        <w:rPr>
          <w:rFonts w:asciiTheme="minorHAnsi" w:eastAsiaTheme="minorEastAsia" w:hAnsiTheme="minorHAnsi" w:cstheme="minorBidi"/>
          <w:b w:val="0"/>
          <w:bCs w:val="0"/>
          <w:noProof/>
          <w:w w:val="100"/>
          <w:sz w:val="22"/>
          <w:szCs w:val="22"/>
          <w:lang w:eastAsia="en-AU" w:bidi="ar-SA"/>
        </w:rPr>
        <w:tab/>
      </w:r>
      <w:r>
        <w:rPr>
          <w:noProof/>
        </w:rPr>
        <w:t>Assignment and subletting</w:t>
      </w:r>
      <w:r>
        <w:rPr>
          <w:noProof/>
        </w:rPr>
        <w:tab/>
      </w:r>
      <w:r>
        <w:rPr>
          <w:noProof/>
        </w:rPr>
        <w:fldChar w:fldCharType="begin"/>
      </w:r>
      <w:r>
        <w:rPr>
          <w:noProof/>
        </w:rPr>
        <w:instrText xml:space="preserve"> PAGEREF _Toc411870690 \h </w:instrText>
      </w:r>
      <w:r>
        <w:rPr>
          <w:noProof/>
        </w:rPr>
      </w:r>
      <w:r>
        <w:rPr>
          <w:noProof/>
        </w:rPr>
        <w:fldChar w:fldCharType="separate"/>
      </w:r>
      <w:r>
        <w:rPr>
          <w:noProof/>
        </w:rPr>
        <w:t>36</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16.1</w:t>
      </w:r>
      <w:r>
        <w:rPr>
          <w:rFonts w:asciiTheme="minorHAnsi" w:eastAsiaTheme="minorEastAsia" w:hAnsiTheme="minorHAnsi" w:cstheme="minorBidi"/>
          <w:noProof/>
          <w:w w:val="100"/>
          <w:lang w:eastAsia="en-AU" w:bidi="ar-SA"/>
        </w:rPr>
        <w:tab/>
      </w:r>
      <w:r>
        <w:rPr>
          <w:noProof/>
        </w:rPr>
        <w:t>Transfers and Dealings</w:t>
      </w:r>
      <w:r>
        <w:rPr>
          <w:noProof/>
        </w:rPr>
        <w:tab/>
      </w:r>
      <w:r>
        <w:rPr>
          <w:noProof/>
        </w:rPr>
        <w:fldChar w:fldCharType="begin"/>
      </w:r>
      <w:r>
        <w:rPr>
          <w:noProof/>
        </w:rPr>
        <w:instrText xml:space="preserve"> PAGEREF _Toc411870691 \h </w:instrText>
      </w:r>
      <w:r>
        <w:rPr>
          <w:noProof/>
        </w:rPr>
      </w:r>
      <w:r>
        <w:rPr>
          <w:noProof/>
        </w:rPr>
        <w:fldChar w:fldCharType="separate"/>
      </w:r>
      <w:r>
        <w:rPr>
          <w:noProof/>
        </w:rPr>
        <w:t>36</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16.2</w:t>
      </w:r>
      <w:r>
        <w:rPr>
          <w:rFonts w:asciiTheme="minorHAnsi" w:eastAsiaTheme="minorEastAsia" w:hAnsiTheme="minorHAnsi" w:cstheme="minorBidi"/>
          <w:noProof/>
          <w:w w:val="100"/>
          <w:lang w:eastAsia="en-AU" w:bidi="ar-SA"/>
        </w:rPr>
        <w:tab/>
      </w:r>
      <w:r>
        <w:rPr>
          <w:noProof/>
        </w:rPr>
        <w:t>Assignment</w:t>
      </w:r>
      <w:r>
        <w:rPr>
          <w:noProof/>
        </w:rPr>
        <w:tab/>
      </w:r>
      <w:r>
        <w:rPr>
          <w:noProof/>
        </w:rPr>
        <w:fldChar w:fldCharType="begin"/>
      </w:r>
      <w:r>
        <w:rPr>
          <w:noProof/>
        </w:rPr>
        <w:instrText xml:space="preserve"> PAGEREF _Toc411870692 \h </w:instrText>
      </w:r>
      <w:r>
        <w:rPr>
          <w:noProof/>
        </w:rPr>
      </w:r>
      <w:r>
        <w:rPr>
          <w:noProof/>
        </w:rPr>
        <w:fldChar w:fldCharType="separate"/>
      </w:r>
      <w:r>
        <w:rPr>
          <w:noProof/>
        </w:rPr>
        <w:t>36</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16.3</w:t>
      </w:r>
      <w:r>
        <w:rPr>
          <w:rFonts w:asciiTheme="minorHAnsi" w:eastAsiaTheme="minorEastAsia" w:hAnsiTheme="minorHAnsi" w:cstheme="minorBidi"/>
          <w:noProof/>
          <w:w w:val="100"/>
          <w:lang w:eastAsia="en-AU" w:bidi="ar-SA"/>
        </w:rPr>
        <w:tab/>
      </w:r>
      <w:r>
        <w:rPr>
          <w:noProof/>
        </w:rPr>
        <w:t>Change in control of the Tenant</w:t>
      </w:r>
      <w:r>
        <w:rPr>
          <w:noProof/>
        </w:rPr>
        <w:tab/>
      </w:r>
      <w:r>
        <w:rPr>
          <w:noProof/>
        </w:rPr>
        <w:fldChar w:fldCharType="begin"/>
      </w:r>
      <w:r>
        <w:rPr>
          <w:noProof/>
        </w:rPr>
        <w:instrText xml:space="preserve"> PAGEREF _Toc411870693 \h </w:instrText>
      </w:r>
      <w:r>
        <w:rPr>
          <w:noProof/>
        </w:rPr>
      </w:r>
      <w:r>
        <w:rPr>
          <w:noProof/>
        </w:rPr>
        <w:fldChar w:fldCharType="separate"/>
      </w:r>
      <w:r>
        <w:rPr>
          <w:noProof/>
        </w:rPr>
        <w:t>37</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16.4</w:t>
      </w:r>
      <w:r>
        <w:rPr>
          <w:rFonts w:asciiTheme="minorHAnsi" w:eastAsiaTheme="minorEastAsia" w:hAnsiTheme="minorHAnsi" w:cstheme="minorBidi"/>
          <w:noProof/>
          <w:w w:val="100"/>
          <w:lang w:eastAsia="en-AU" w:bidi="ar-SA"/>
        </w:rPr>
        <w:tab/>
      </w:r>
      <w:r>
        <w:rPr>
          <w:noProof/>
        </w:rPr>
        <w:t>Landlord's Rights on Deemed Assignments</w:t>
      </w:r>
      <w:r>
        <w:rPr>
          <w:noProof/>
        </w:rPr>
        <w:tab/>
      </w:r>
      <w:r>
        <w:rPr>
          <w:noProof/>
        </w:rPr>
        <w:fldChar w:fldCharType="begin"/>
      </w:r>
      <w:r>
        <w:rPr>
          <w:noProof/>
        </w:rPr>
        <w:instrText xml:space="preserve"> PAGEREF _Toc411870694 \h </w:instrText>
      </w:r>
      <w:r>
        <w:rPr>
          <w:noProof/>
        </w:rPr>
      </w:r>
      <w:r>
        <w:rPr>
          <w:noProof/>
        </w:rPr>
        <w:fldChar w:fldCharType="separate"/>
      </w:r>
      <w:r>
        <w:rPr>
          <w:noProof/>
        </w:rPr>
        <w:t>38</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16.5</w:t>
      </w:r>
      <w:r>
        <w:rPr>
          <w:rFonts w:asciiTheme="minorHAnsi" w:eastAsiaTheme="minorEastAsia" w:hAnsiTheme="minorHAnsi" w:cstheme="minorBidi"/>
          <w:noProof/>
          <w:w w:val="100"/>
          <w:lang w:eastAsia="en-AU" w:bidi="ar-SA"/>
        </w:rPr>
        <w:tab/>
      </w:r>
      <w:r>
        <w:rPr>
          <w:noProof/>
        </w:rPr>
        <w:t>Increase of Rent on subletting</w:t>
      </w:r>
      <w:r>
        <w:rPr>
          <w:noProof/>
        </w:rPr>
        <w:tab/>
      </w:r>
      <w:r>
        <w:rPr>
          <w:noProof/>
        </w:rPr>
        <w:fldChar w:fldCharType="begin"/>
      </w:r>
      <w:r>
        <w:rPr>
          <w:noProof/>
        </w:rPr>
        <w:instrText xml:space="preserve"> PAGEREF _Toc</w:instrText>
      </w:r>
      <w:r>
        <w:rPr>
          <w:noProof/>
        </w:rPr>
        <w:instrText xml:space="preserve">411870695 \h </w:instrText>
      </w:r>
      <w:r>
        <w:rPr>
          <w:noProof/>
        </w:rPr>
      </w:r>
      <w:r>
        <w:rPr>
          <w:noProof/>
        </w:rPr>
        <w:fldChar w:fldCharType="separate"/>
      </w:r>
      <w:r>
        <w:rPr>
          <w:noProof/>
        </w:rPr>
        <w:t>38</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16.6</w:t>
      </w:r>
      <w:r>
        <w:rPr>
          <w:rFonts w:asciiTheme="minorHAnsi" w:eastAsiaTheme="minorEastAsia" w:hAnsiTheme="minorHAnsi" w:cstheme="minorBidi"/>
          <w:noProof/>
          <w:w w:val="100"/>
          <w:lang w:eastAsia="en-AU" w:bidi="ar-SA"/>
        </w:rPr>
        <w:tab/>
      </w:r>
      <w:r>
        <w:rPr>
          <w:noProof/>
        </w:rPr>
        <w:t>Using this lease etc as security</w:t>
      </w:r>
      <w:r>
        <w:rPr>
          <w:noProof/>
        </w:rPr>
        <w:tab/>
      </w:r>
      <w:r>
        <w:rPr>
          <w:noProof/>
        </w:rPr>
        <w:fldChar w:fldCharType="begin"/>
      </w:r>
      <w:r>
        <w:rPr>
          <w:noProof/>
        </w:rPr>
        <w:instrText xml:space="preserve"> PAGEREF _Toc411870696 \h </w:instrText>
      </w:r>
      <w:r>
        <w:rPr>
          <w:noProof/>
        </w:rPr>
      </w:r>
      <w:r>
        <w:rPr>
          <w:noProof/>
        </w:rPr>
        <w:fldChar w:fldCharType="separate"/>
      </w:r>
      <w:r>
        <w:rPr>
          <w:noProof/>
        </w:rPr>
        <w:t>38</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16.7</w:t>
      </w:r>
      <w:r>
        <w:rPr>
          <w:rFonts w:asciiTheme="minorHAnsi" w:eastAsiaTheme="minorEastAsia" w:hAnsiTheme="minorHAnsi" w:cstheme="minorBidi"/>
          <w:noProof/>
          <w:w w:val="100"/>
          <w:lang w:eastAsia="en-AU" w:bidi="ar-SA"/>
        </w:rPr>
        <w:tab/>
      </w:r>
      <w:r>
        <w:rPr>
          <w:noProof/>
        </w:rPr>
        <w:t>No Subleasing</w:t>
      </w:r>
      <w:r>
        <w:rPr>
          <w:noProof/>
        </w:rPr>
        <w:tab/>
      </w:r>
      <w:r>
        <w:rPr>
          <w:noProof/>
        </w:rPr>
        <w:fldChar w:fldCharType="begin"/>
      </w:r>
      <w:r>
        <w:rPr>
          <w:noProof/>
        </w:rPr>
        <w:instrText xml:space="preserve"> PAGEREF _Toc411870697 \h </w:instrText>
      </w:r>
      <w:r>
        <w:rPr>
          <w:noProof/>
        </w:rPr>
      </w:r>
      <w:r>
        <w:rPr>
          <w:noProof/>
        </w:rPr>
        <w:fldChar w:fldCharType="separate"/>
      </w:r>
      <w:r>
        <w:rPr>
          <w:noProof/>
        </w:rPr>
        <w:t>38</w:t>
      </w:r>
      <w:r>
        <w:rPr>
          <w:noProof/>
        </w:rPr>
        <w:fldChar w:fldCharType="end"/>
      </w:r>
    </w:p>
    <w:p w:rsidR="001B3D5D" w:rsidRDefault="004D5502">
      <w:pPr>
        <w:pStyle w:val="TOC2"/>
        <w:rPr>
          <w:rFonts w:asciiTheme="minorHAnsi" w:eastAsiaTheme="minorEastAsia" w:hAnsiTheme="minorHAnsi" w:cstheme="minorBidi"/>
          <w:b w:val="0"/>
          <w:bCs w:val="0"/>
          <w:noProof/>
          <w:w w:val="100"/>
          <w:sz w:val="22"/>
          <w:szCs w:val="22"/>
          <w:lang w:eastAsia="en-AU" w:bidi="ar-SA"/>
        </w:rPr>
      </w:pPr>
      <w:r>
        <w:rPr>
          <w:noProof/>
        </w:rPr>
        <w:t>17.</w:t>
      </w:r>
      <w:r>
        <w:rPr>
          <w:rFonts w:asciiTheme="minorHAnsi" w:eastAsiaTheme="minorEastAsia" w:hAnsiTheme="minorHAnsi" w:cstheme="minorBidi"/>
          <w:b w:val="0"/>
          <w:bCs w:val="0"/>
          <w:noProof/>
          <w:w w:val="100"/>
          <w:sz w:val="22"/>
          <w:szCs w:val="22"/>
          <w:lang w:eastAsia="en-AU" w:bidi="ar-SA"/>
        </w:rPr>
        <w:tab/>
      </w:r>
      <w:r>
        <w:rPr>
          <w:noProof/>
        </w:rPr>
        <w:t>Security Amount</w:t>
      </w:r>
      <w:r>
        <w:rPr>
          <w:noProof/>
        </w:rPr>
        <w:tab/>
      </w:r>
      <w:r>
        <w:rPr>
          <w:noProof/>
        </w:rPr>
        <w:fldChar w:fldCharType="begin"/>
      </w:r>
      <w:r>
        <w:rPr>
          <w:noProof/>
        </w:rPr>
        <w:instrText xml:space="preserve"> PAGEREF _Toc411870698 \h </w:instrText>
      </w:r>
      <w:r>
        <w:rPr>
          <w:noProof/>
        </w:rPr>
      </w:r>
      <w:r>
        <w:rPr>
          <w:noProof/>
        </w:rPr>
        <w:fldChar w:fldCharType="separate"/>
      </w:r>
      <w:r>
        <w:rPr>
          <w:noProof/>
        </w:rPr>
        <w:t>39</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17.1</w:t>
      </w:r>
      <w:r>
        <w:rPr>
          <w:rFonts w:asciiTheme="minorHAnsi" w:eastAsiaTheme="minorEastAsia" w:hAnsiTheme="minorHAnsi" w:cstheme="minorBidi"/>
          <w:noProof/>
          <w:w w:val="100"/>
          <w:lang w:eastAsia="en-AU" w:bidi="ar-SA"/>
        </w:rPr>
        <w:tab/>
      </w:r>
      <w:r>
        <w:rPr>
          <w:noProof/>
        </w:rPr>
        <w:t>Security Amount</w:t>
      </w:r>
      <w:r>
        <w:rPr>
          <w:noProof/>
        </w:rPr>
        <w:tab/>
      </w:r>
      <w:r>
        <w:rPr>
          <w:noProof/>
        </w:rPr>
        <w:fldChar w:fldCharType="begin"/>
      </w:r>
      <w:r>
        <w:rPr>
          <w:noProof/>
        </w:rPr>
        <w:instrText xml:space="preserve"> PAGEREF _Toc411870699 \h </w:instrText>
      </w:r>
      <w:r>
        <w:rPr>
          <w:noProof/>
        </w:rPr>
      </w:r>
      <w:r>
        <w:rPr>
          <w:noProof/>
        </w:rPr>
        <w:fldChar w:fldCharType="separate"/>
      </w:r>
      <w:r>
        <w:rPr>
          <w:noProof/>
        </w:rPr>
        <w:t>39</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17.2</w:t>
      </w:r>
      <w:r>
        <w:rPr>
          <w:rFonts w:asciiTheme="minorHAnsi" w:eastAsiaTheme="minorEastAsia" w:hAnsiTheme="minorHAnsi" w:cstheme="minorBidi"/>
          <w:noProof/>
          <w:w w:val="100"/>
          <w:lang w:eastAsia="en-AU" w:bidi="ar-SA"/>
        </w:rPr>
        <w:tab/>
      </w:r>
      <w:r>
        <w:rPr>
          <w:noProof/>
        </w:rPr>
        <w:t>Use of Security Amount</w:t>
      </w:r>
      <w:r>
        <w:rPr>
          <w:noProof/>
        </w:rPr>
        <w:tab/>
      </w:r>
      <w:r>
        <w:rPr>
          <w:noProof/>
        </w:rPr>
        <w:fldChar w:fldCharType="begin"/>
      </w:r>
      <w:r>
        <w:rPr>
          <w:noProof/>
        </w:rPr>
        <w:instrText xml:space="preserve"> PAGEREF _Toc411870700 \h </w:instrText>
      </w:r>
      <w:r>
        <w:rPr>
          <w:noProof/>
        </w:rPr>
      </w:r>
      <w:r>
        <w:rPr>
          <w:noProof/>
        </w:rPr>
        <w:fldChar w:fldCharType="separate"/>
      </w:r>
      <w:r>
        <w:rPr>
          <w:noProof/>
        </w:rPr>
        <w:t>39</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17.3</w:t>
      </w:r>
      <w:r>
        <w:rPr>
          <w:rFonts w:asciiTheme="minorHAnsi" w:eastAsiaTheme="minorEastAsia" w:hAnsiTheme="minorHAnsi" w:cstheme="minorBidi"/>
          <w:noProof/>
          <w:w w:val="100"/>
          <w:lang w:eastAsia="en-AU" w:bidi="ar-SA"/>
        </w:rPr>
        <w:tab/>
      </w:r>
      <w:r>
        <w:rPr>
          <w:noProof/>
        </w:rPr>
        <w:t>Reinstatement of Security Amount</w:t>
      </w:r>
      <w:r>
        <w:rPr>
          <w:noProof/>
        </w:rPr>
        <w:tab/>
      </w:r>
      <w:r>
        <w:rPr>
          <w:noProof/>
        </w:rPr>
        <w:fldChar w:fldCharType="begin"/>
      </w:r>
      <w:r>
        <w:rPr>
          <w:noProof/>
        </w:rPr>
        <w:instrText xml:space="preserve"> PAGEREF _Toc411870701 \h </w:instrText>
      </w:r>
      <w:r>
        <w:rPr>
          <w:noProof/>
        </w:rPr>
      </w:r>
      <w:r>
        <w:rPr>
          <w:noProof/>
        </w:rPr>
        <w:fldChar w:fldCharType="separate"/>
      </w:r>
      <w:r>
        <w:rPr>
          <w:noProof/>
        </w:rPr>
        <w:t>39</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17.4</w:t>
      </w:r>
      <w:r>
        <w:rPr>
          <w:rFonts w:asciiTheme="minorHAnsi" w:eastAsiaTheme="minorEastAsia" w:hAnsiTheme="minorHAnsi" w:cstheme="minorBidi"/>
          <w:noProof/>
          <w:w w:val="100"/>
          <w:lang w:eastAsia="en-AU" w:bidi="ar-SA"/>
        </w:rPr>
        <w:tab/>
      </w:r>
      <w:r>
        <w:rPr>
          <w:noProof/>
        </w:rPr>
        <w:t>Replacement Insurance Bond and Bank Guarantee</w:t>
      </w:r>
      <w:r>
        <w:rPr>
          <w:noProof/>
        </w:rPr>
        <w:tab/>
      </w:r>
      <w:r>
        <w:rPr>
          <w:noProof/>
        </w:rPr>
        <w:fldChar w:fldCharType="begin"/>
      </w:r>
      <w:r>
        <w:rPr>
          <w:noProof/>
        </w:rPr>
        <w:instrText xml:space="preserve"> PAGEREF _Toc411870702 \h </w:instrText>
      </w:r>
      <w:r>
        <w:rPr>
          <w:noProof/>
        </w:rPr>
      </w:r>
      <w:r>
        <w:rPr>
          <w:noProof/>
        </w:rPr>
        <w:fldChar w:fldCharType="separate"/>
      </w:r>
      <w:r>
        <w:rPr>
          <w:noProof/>
        </w:rPr>
        <w:t>39</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17.5</w:t>
      </w:r>
      <w:r>
        <w:rPr>
          <w:rFonts w:asciiTheme="minorHAnsi" w:eastAsiaTheme="minorEastAsia" w:hAnsiTheme="minorHAnsi" w:cstheme="minorBidi"/>
          <w:noProof/>
          <w:w w:val="100"/>
          <w:lang w:eastAsia="en-AU" w:bidi="ar-SA"/>
        </w:rPr>
        <w:tab/>
      </w:r>
      <w:r>
        <w:rPr>
          <w:noProof/>
        </w:rPr>
        <w:t>Return of Security Amount under this</w:t>
      </w:r>
      <w:r>
        <w:rPr>
          <w:noProof/>
        </w:rPr>
        <w:t xml:space="preserve"> lease</w:t>
      </w:r>
      <w:r>
        <w:rPr>
          <w:noProof/>
        </w:rPr>
        <w:tab/>
      </w:r>
      <w:r>
        <w:rPr>
          <w:noProof/>
        </w:rPr>
        <w:fldChar w:fldCharType="begin"/>
      </w:r>
      <w:r>
        <w:rPr>
          <w:noProof/>
        </w:rPr>
        <w:instrText xml:space="preserve"> PAGEREF _Toc411870703 \h </w:instrText>
      </w:r>
      <w:r>
        <w:rPr>
          <w:noProof/>
        </w:rPr>
      </w:r>
      <w:r>
        <w:rPr>
          <w:noProof/>
        </w:rPr>
        <w:fldChar w:fldCharType="separate"/>
      </w:r>
      <w:r>
        <w:rPr>
          <w:noProof/>
        </w:rPr>
        <w:t>39</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17.6</w:t>
      </w:r>
      <w:r>
        <w:rPr>
          <w:rFonts w:asciiTheme="minorHAnsi" w:eastAsiaTheme="minorEastAsia" w:hAnsiTheme="minorHAnsi" w:cstheme="minorBidi"/>
          <w:noProof/>
          <w:w w:val="100"/>
          <w:lang w:eastAsia="en-AU" w:bidi="ar-SA"/>
        </w:rPr>
        <w:tab/>
      </w:r>
      <w:r>
        <w:rPr>
          <w:noProof/>
        </w:rPr>
        <w:t>Change in ownership</w:t>
      </w:r>
      <w:r>
        <w:rPr>
          <w:noProof/>
        </w:rPr>
        <w:tab/>
      </w:r>
      <w:r>
        <w:rPr>
          <w:noProof/>
        </w:rPr>
        <w:fldChar w:fldCharType="begin"/>
      </w:r>
      <w:r>
        <w:rPr>
          <w:noProof/>
        </w:rPr>
        <w:instrText xml:space="preserve"> PAGEREF _Toc411870704 \h </w:instrText>
      </w:r>
      <w:r>
        <w:rPr>
          <w:noProof/>
        </w:rPr>
      </w:r>
      <w:r>
        <w:rPr>
          <w:noProof/>
        </w:rPr>
        <w:fldChar w:fldCharType="separate"/>
      </w:r>
      <w:r>
        <w:rPr>
          <w:noProof/>
        </w:rPr>
        <w:t>39</w:t>
      </w:r>
      <w:r>
        <w:rPr>
          <w:noProof/>
        </w:rPr>
        <w:fldChar w:fldCharType="end"/>
      </w:r>
    </w:p>
    <w:p w:rsidR="001B3D5D" w:rsidRDefault="004D5502">
      <w:pPr>
        <w:pStyle w:val="TOC2"/>
        <w:rPr>
          <w:rFonts w:asciiTheme="minorHAnsi" w:eastAsiaTheme="minorEastAsia" w:hAnsiTheme="minorHAnsi" w:cstheme="minorBidi"/>
          <w:b w:val="0"/>
          <w:bCs w:val="0"/>
          <w:noProof/>
          <w:w w:val="100"/>
          <w:sz w:val="22"/>
          <w:szCs w:val="22"/>
          <w:lang w:eastAsia="en-AU" w:bidi="ar-SA"/>
        </w:rPr>
      </w:pPr>
      <w:r>
        <w:rPr>
          <w:noProof/>
        </w:rPr>
        <w:t>18.</w:t>
      </w:r>
      <w:r>
        <w:rPr>
          <w:rFonts w:asciiTheme="minorHAnsi" w:eastAsiaTheme="minorEastAsia" w:hAnsiTheme="minorHAnsi" w:cstheme="minorBidi"/>
          <w:b w:val="0"/>
          <w:bCs w:val="0"/>
          <w:noProof/>
          <w:w w:val="100"/>
          <w:sz w:val="22"/>
          <w:szCs w:val="22"/>
          <w:lang w:eastAsia="en-AU" w:bidi="ar-SA"/>
        </w:rPr>
        <w:tab/>
      </w:r>
      <w:r>
        <w:rPr>
          <w:noProof/>
        </w:rPr>
        <w:t xml:space="preserve">Goods and Services Tax </w:t>
      </w:r>
      <w:r>
        <w:rPr>
          <w:noProof/>
        </w:rPr>
        <w:t>(GST)</w:t>
      </w:r>
      <w:r>
        <w:rPr>
          <w:noProof/>
        </w:rPr>
        <w:tab/>
      </w:r>
      <w:r>
        <w:rPr>
          <w:noProof/>
        </w:rPr>
        <w:fldChar w:fldCharType="begin"/>
      </w:r>
      <w:r>
        <w:rPr>
          <w:noProof/>
        </w:rPr>
        <w:instrText xml:space="preserve"> PAGEREF _Toc411870705 \h </w:instrText>
      </w:r>
      <w:r>
        <w:rPr>
          <w:noProof/>
        </w:rPr>
      </w:r>
      <w:r>
        <w:rPr>
          <w:noProof/>
        </w:rPr>
        <w:fldChar w:fldCharType="separate"/>
      </w:r>
      <w:r>
        <w:rPr>
          <w:noProof/>
        </w:rPr>
        <w:t>40</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lang w:val="en-US"/>
        </w:rPr>
        <w:t>18.1</w:t>
      </w:r>
      <w:r>
        <w:rPr>
          <w:rFonts w:asciiTheme="minorHAnsi" w:eastAsiaTheme="minorEastAsia" w:hAnsiTheme="minorHAnsi" w:cstheme="minorBidi"/>
          <w:noProof/>
          <w:w w:val="100"/>
          <w:lang w:eastAsia="en-AU" w:bidi="ar-SA"/>
        </w:rPr>
        <w:tab/>
      </w:r>
      <w:r>
        <w:rPr>
          <w:noProof/>
          <w:lang w:val="en-US"/>
        </w:rPr>
        <w:t>Interpretation</w:t>
      </w:r>
      <w:r>
        <w:rPr>
          <w:noProof/>
        </w:rPr>
        <w:tab/>
      </w:r>
      <w:r>
        <w:rPr>
          <w:noProof/>
        </w:rPr>
        <w:fldChar w:fldCharType="begin"/>
      </w:r>
      <w:r>
        <w:rPr>
          <w:noProof/>
        </w:rPr>
        <w:instrText xml:space="preserve"> PAGEREF _Toc411870706 \h </w:instrText>
      </w:r>
      <w:r>
        <w:rPr>
          <w:noProof/>
        </w:rPr>
      </w:r>
      <w:r>
        <w:rPr>
          <w:noProof/>
        </w:rPr>
        <w:fldChar w:fldCharType="separate"/>
      </w:r>
      <w:r>
        <w:rPr>
          <w:noProof/>
        </w:rPr>
        <w:t>40</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18.2</w:t>
      </w:r>
      <w:r>
        <w:rPr>
          <w:rFonts w:asciiTheme="minorHAnsi" w:eastAsiaTheme="minorEastAsia" w:hAnsiTheme="minorHAnsi" w:cstheme="minorBidi"/>
          <w:noProof/>
          <w:w w:val="100"/>
          <w:lang w:eastAsia="en-AU" w:bidi="ar-SA"/>
        </w:rPr>
        <w:tab/>
      </w:r>
      <w:r>
        <w:rPr>
          <w:noProof/>
        </w:rPr>
        <w:t>Consideration is GST exclusive</w:t>
      </w:r>
      <w:r>
        <w:rPr>
          <w:noProof/>
        </w:rPr>
        <w:tab/>
      </w:r>
      <w:r>
        <w:rPr>
          <w:noProof/>
        </w:rPr>
        <w:fldChar w:fldCharType="begin"/>
      </w:r>
      <w:r>
        <w:rPr>
          <w:noProof/>
        </w:rPr>
        <w:instrText xml:space="preserve"> </w:instrText>
      </w:r>
      <w:r>
        <w:rPr>
          <w:noProof/>
        </w:rPr>
        <w:instrText xml:space="preserve">PAGEREF _Toc411870707 \h </w:instrText>
      </w:r>
      <w:r>
        <w:rPr>
          <w:noProof/>
        </w:rPr>
      </w:r>
      <w:r>
        <w:rPr>
          <w:noProof/>
        </w:rPr>
        <w:fldChar w:fldCharType="separate"/>
      </w:r>
      <w:r>
        <w:rPr>
          <w:noProof/>
        </w:rPr>
        <w:t>40</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18.3</w:t>
      </w:r>
      <w:r>
        <w:rPr>
          <w:rFonts w:asciiTheme="minorHAnsi" w:eastAsiaTheme="minorEastAsia" w:hAnsiTheme="minorHAnsi" w:cstheme="minorBidi"/>
          <w:noProof/>
          <w:w w:val="100"/>
          <w:lang w:eastAsia="en-AU" w:bidi="ar-SA"/>
        </w:rPr>
        <w:tab/>
      </w:r>
      <w:r>
        <w:rPr>
          <w:noProof/>
        </w:rPr>
        <w:t>Gross up of consideration</w:t>
      </w:r>
      <w:r>
        <w:rPr>
          <w:noProof/>
        </w:rPr>
        <w:tab/>
      </w:r>
      <w:r>
        <w:rPr>
          <w:noProof/>
        </w:rPr>
        <w:fldChar w:fldCharType="begin"/>
      </w:r>
      <w:r>
        <w:rPr>
          <w:noProof/>
        </w:rPr>
        <w:instrText xml:space="preserve"> PAGEREF _Toc411870708 \h </w:instrText>
      </w:r>
      <w:r>
        <w:rPr>
          <w:noProof/>
        </w:rPr>
      </w:r>
      <w:r>
        <w:rPr>
          <w:noProof/>
        </w:rPr>
        <w:fldChar w:fldCharType="separate"/>
      </w:r>
      <w:r>
        <w:rPr>
          <w:noProof/>
        </w:rPr>
        <w:t>40</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18.4</w:t>
      </w:r>
      <w:r>
        <w:rPr>
          <w:rFonts w:asciiTheme="minorHAnsi" w:eastAsiaTheme="minorEastAsia" w:hAnsiTheme="minorHAnsi" w:cstheme="minorBidi"/>
          <w:noProof/>
          <w:w w:val="100"/>
          <w:lang w:eastAsia="en-AU" w:bidi="ar-SA"/>
        </w:rPr>
        <w:tab/>
      </w:r>
      <w:r>
        <w:rPr>
          <w:noProof/>
        </w:rPr>
        <w:t>Reimbursements (net down)</w:t>
      </w:r>
      <w:r>
        <w:rPr>
          <w:noProof/>
        </w:rPr>
        <w:tab/>
      </w:r>
      <w:r>
        <w:rPr>
          <w:noProof/>
        </w:rPr>
        <w:fldChar w:fldCharType="begin"/>
      </w:r>
      <w:r>
        <w:rPr>
          <w:noProof/>
        </w:rPr>
        <w:instrText xml:space="preserve"> P</w:instrText>
      </w:r>
      <w:r>
        <w:rPr>
          <w:noProof/>
        </w:rPr>
        <w:instrText xml:space="preserve">AGEREF _Toc411870709 \h </w:instrText>
      </w:r>
      <w:r>
        <w:rPr>
          <w:noProof/>
        </w:rPr>
      </w:r>
      <w:r>
        <w:rPr>
          <w:noProof/>
        </w:rPr>
        <w:fldChar w:fldCharType="separate"/>
      </w:r>
      <w:r>
        <w:rPr>
          <w:noProof/>
        </w:rPr>
        <w:t>40</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18.5</w:t>
      </w:r>
      <w:r>
        <w:rPr>
          <w:rFonts w:asciiTheme="minorHAnsi" w:eastAsiaTheme="minorEastAsia" w:hAnsiTheme="minorHAnsi" w:cstheme="minorBidi"/>
          <w:noProof/>
          <w:w w:val="100"/>
          <w:lang w:eastAsia="en-AU" w:bidi="ar-SA"/>
        </w:rPr>
        <w:tab/>
      </w:r>
      <w:r>
        <w:rPr>
          <w:noProof/>
        </w:rPr>
        <w:t>Tax invoices</w:t>
      </w:r>
      <w:r>
        <w:rPr>
          <w:noProof/>
        </w:rPr>
        <w:tab/>
      </w:r>
      <w:r>
        <w:rPr>
          <w:noProof/>
        </w:rPr>
        <w:fldChar w:fldCharType="begin"/>
      </w:r>
      <w:r>
        <w:rPr>
          <w:noProof/>
        </w:rPr>
        <w:instrText xml:space="preserve"> PAGEREF _Toc411870710 \h </w:instrText>
      </w:r>
      <w:r>
        <w:rPr>
          <w:noProof/>
        </w:rPr>
      </w:r>
      <w:r>
        <w:rPr>
          <w:noProof/>
        </w:rPr>
        <w:fldChar w:fldCharType="separate"/>
      </w:r>
      <w:r>
        <w:rPr>
          <w:noProof/>
        </w:rPr>
        <w:t>40</w:t>
      </w:r>
      <w:r>
        <w:rPr>
          <w:noProof/>
        </w:rPr>
        <w:fldChar w:fldCharType="end"/>
      </w:r>
    </w:p>
    <w:p w:rsidR="001B3D5D" w:rsidRDefault="004D5502">
      <w:pPr>
        <w:pStyle w:val="TOC2"/>
        <w:rPr>
          <w:rFonts w:asciiTheme="minorHAnsi" w:eastAsiaTheme="minorEastAsia" w:hAnsiTheme="minorHAnsi" w:cstheme="minorBidi"/>
          <w:b w:val="0"/>
          <w:bCs w:val="0"/>
          <w:noProof/>
          <w:w w:val="100"/>
          <w:sz w:val="22"/>
          <w:szCs w:val="22"/>
          <w:lang w:eastAsia="en-AU" w:bidi="ar-SA"/>
        </w:rPr>
      </w:pPr>
      <w:r>
        <w:rPr>
          <w:noProof/>
        </w:rPr>
        <w:t>19.</w:t>
      </w:r>
      <w:r>
        <w:rPr>
          <w:rFonts w:asciiTheme="minorHAnsi" w:eastAsiaTheme="minorEastAsia" w:hAnsiTheme="minorHAnsi" w:cstheme="minorBidi"/>
          <w:b w:val="0"/>
          <w:bCs w:val="0"/>
          <w:noProof/>
          <w:w w:val="100"/>
          <w:sz w:val="22"/>
          <w:szCs w:val="22"/>
          <w:lang w:eastAsia="en-AU" w:bidi="ar-SA"/>
        </w:rPr>
        <w:tab/>
      </w:r>
      <w:r>
        <w:rPr>
          <w:noProof/>
        </w:rPr>
        <w:t>Option for a new lease</w:t>
      </w:r>
      <w:r>
        <w:rPr>
          <w:noProof/>
        </w:rPr>
        <w:tab/>
      </w:r>
      <w:r>
        <w:rPr>
          <w:noProof/>
        </w:rPr>
        <w:fldChar w:fldCharType="begin"/>
      </w:r>
      <w:r>
        <w:rPr>
          <w:noProof/>
        </w:rPr>
        <w:instrText xml:space="preserve"> PAGEREF _Toc411870711 \h </w:instrText>
      </w:r>
      <w:r>
        <w:rPr>
          <w:noProof/>
        </w:rPr>
      </w:r>
      <w:r>
        <w:rPr>
          <w:noProof/>
        </w:rPr>
        <w:fldChar w:fldCharType="separate"/>
      </w:r>
      <w:r>
        <w:rPr>
          <w:noProof/>
        </w:rPr>
        <w:t>40</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19.1</w:t>
      </w:r>
      <w:r>
        <w:rPr>
          <w:rFonts w:asciiTheme="minorHAnsi" w:eastAsiaTheme="minorEastAsia" w:hAnsiTheme="minorHAnsi" w:cstheme="minorBidi"/>
          <w:noProof/>
          <w:w w:val="100"/>
          <w:lang w:eastAsia="en-AU" w:bidi="ar-SA"/>
        </w:rPr>
        <w:tab/>
      </w:r>
      <w:r>
        <w:rPr>
          <w:noProof/>
        </w:rPr>
        <w:t>Grant of new lease</w:t>
      </w:r>
      <w:r>
        <w:rPr>
          <w:noProof/>
        </w:rPr>
        <w:tab/>
      </w:r>
      <w:r>
        <w:rPr>
          <w:noProof/>
        </w:rPr>
        <w:fldChar w:fldCharType="begin"/>
      </w:r>
      <w:r>
        <w:rPr>
          <w:noProof/>
        </w:rPr>
        <w:instrText xml:space="preserve"> PAGEREF _Toc411870712 \h </w:instrText>
      </w:r>
      <w:r>
        <w:rPr>
          <w:noProof/>
        </w:rPr>
      </w:r>
      <w:r>
        <w:rPr>
          <w:noProof/>
        </w:rPr>
        <w:fldChar w:fldCharType="separate"/>
      </w:r>
      <w:r>
        <w:rPr>
          <w:noProof/>
        </w:rPr>
        <w:t>40</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19.2</w:t>
      </w:r>
      <w:r>
        <w:rPr>
          <w:rFonts w:asciiTheme="minorHAnsi" w:eastAsiaTheme="minorEastAsia" w:hAnsiTheme="minorHAnsi" w:cstheme="minorBidi"/>
          <w:noProof/>
          <w:w w:val="100"/>
          <w:lang w:eastAsia="en-AU" w:bidi="ar-SA"/>
        </w:rPr>
        <w:tab/>
      </w:r>
      <w:r>
        <w:rPr>
          <w:noProof/>
        </w:rPr>
        <w:t>Provisions of new lease</w:t>
      </w:r>
      <w:r>
        <w:rPr>
          <w:noProof/>
        </w:rPr>
        <w:tab/>
      </w:r>
      <w:r>
        <w:rPr>
          <w:noProof/>
        </w:rPr>
        <w:fldChar w:fldCharType="begin"/>
      </w:r>
      <w:r>
        <w:rPr>
          <w:noProof/>
        </w:rPr>
        <w:instrText xml:space="preserve"> PAGEREF _Toc411870713 \h </w:instrText>
      </w:r>
      <w:r>
        <w:rPr>
          <w:noProof/>
        </w:rPr>
      </w:r>
      <w:r>
        <w:rPr>
          <w:noProof/>
        </w:rPr>
        <w:fldChar w:fldCharType="separate"/>
      </w:r>
      <w:r>
        <w:rPr>
          <w:noProof/>
        </w:rPr>
        <w:t>41</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19.3</w:t>
      </w:r>
      <w:r>
        <w:rPr>
          <w:rFonts w:asciiTheme="minorHAnsi" w:eastAsiaTheme="minorEastAsia" w:hAnsiTheme="minorHAnsi" w:cstheme="minorBidi"/>
          <w:noProof/>
          <w:w w:val="100"/>
          <w:lang w:eastAsia="en-AU" w:bidi="ar-SA"/>
        </w:rPr>
        <w:tab/>
      </w:r>
      <w:r>
        <w:rPr>
          <w:noProof/>
        </w:rPr>
        <w:t>Security Amount</w:t>
      </w:r>
      <w:r>
        <w:rPr>
          <w:noProof/>
        </w:rPr>
        <w:tab/>
      </w:r>
      <w:r>
        <w:rPr>
          <w:noProof/>
        </w:rPr>
        <w:fldChar w:fldCharType="begin"/>
      </w:r>
      <w:r>
        <w:rPr>
          <w:noProof/>
        </w:rPr>
        <w:instrText xml:space="preserve"> PAGEREF _Toc411870714 \h </w:instrText>
      </w:r>
      <w:r>
        <w:rPr>
          <w:noProof/>
        </w:rPr>
      </w:r>
      <w:r>
        <w:rPr>
          <w:noProof/>
        </w:rPr>
        <w:fldChar w:fldCharType="separate"/>
      </w:r>
      <w:r>
        <w:rPr>
          <w:noProof/>
        </w:rPr>
        <w:t>41</w:t>
      </w:r>
      <w:r>
        <w:rPr>
          <w:noProof/>
        </w:rPr>
        <w:fldChar w:fldCharType="end"/>
      </w:r>
    </w:p>
    <w:p w:rsidR="001B3D5D" w:rsidRDefault="004D5502">
      <w:pPr>
        <w:pStyle w:val="TOC2"/>
        <w:rPr>
          <w:rFonts w:asciiTheme="minorHAnsi" w:eastAsiaTheme="minorEastAsia" w:hAnsiTheme="minorHAnsi" w:cstheme="minorBidi"/>
          <w:b w:val="0"/>
          <w:bCs w:val="0"/>
          <w:noProof/>
          <w:w w:val="100"/>
          <w:sz w:val="22"/>
          <w:szCs w:val="22"/>
          <w:lang w:eastAsia="en-AU" w:bidi="ar-SA"/>
        </w:rPr>
      </w:pPr>
      <w:r>
        <w:rPr>
          <w:noProof/>
        </w:rPr>
        <w:t>20.</w:t>
      </w:r>
      <w:r>
        <w:rPr>
          <w:rFonts w:asciiTheme="minorHAnsi" w:eastAsiaTheme="minorEastAsia" w:hAnsiTheme="minorHAnsi" w:cstheme="minorBidi"/>
          <w:b w:val="0"/>
          <w:bCs w:val="0"/>
          <w:noProof/>
          <w:w w:val="100"/>
          <w:sz w:val="22"/>
          <w:szCs w:val="22"/>
          <w:lang w:eastAsia="en-AU" w:bidi="ar-SA"/>
        </w:rPr>
        <w:tab/>
      </w:r>
      <w:r>
        <w:rPr>
          <w:noProof/>
        </w:rPr>
        <w:t>Licensed Areas</w:t>
      </w:r>
      <w:r>
        <w:rPr>
          <w:noProof/>
        </w:rPr>
        <w:tab/>
      </w:r>
      <w:r>
        <w:rPr>
          <w:noProof/>
        </w:rPr>
        <w:fldChar w:fldCharType="begin"/>
      </w:r>
      <w:r>
        <w:rPr>
          <w:noProof/>
        </w:rPr>
        <w:instrText xml:space="preserve"> PAGEREF _Toc411870715 \h </w:instrText>
      </w:r>
      <w:r>
        <w:rPr>
          <w:noProof/>
        </w:rPr>
      </w:r>
      <w:r>
        <w:rPr>
          <w:noProof/>
        </w:rPr>
        <w:fldChar w:fldCharType="separate"/>
      </w:r>
      <w:r>
        <w:rPr>
          <w:noProof/>
        </w:rPr>
        <w:t>41</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20.1</w:t>
      </w:r>
      <w:r>
        <w:rPr>
          <w:rFonts w:asciiTheme="minorHAnsi" w:eastAsiaTheme="minorEastAsia" w:hAnsiTheme="minorHAnsi" w:cstheme="minorBidi"/>
          <w:noProof/>
          <w:w w:val="100"/>
          <w:lang w:eastAsia="en-AU" w:bidi="ar-SA"/>
        </w:rPr>
        <w:tab/>
      </w:r>
      <w:r>
        <w:rPr>
          <w:noProof/>
        </w:rPr>
        <w:t>Tenant's rights</w:t>
      </w:r>
      <w:r>
        <w:rPr>
          <w:noProof/>
        </w:rPr>
        <w:tab/>
      </w:r>
      <w:r>
        <w:rPr>
          <w:noProof/>
        </w:rPr>
        <w:fldChar w:fldCharType="begin"/>
      </w:r>
      <w:r>
        <w:rPr>
          <w:noProof/>
        </w:rPr>
        <w:instrText xml:space="preserve"> PAGEREF _Toc411870716 \h </w:instrText>
      </w:r>
      <w:r>
        <w:rPr>
          <w:noProof/>
        </w:rPr>
      </w:r>
      <w:r>
        <w:rPr>
          <w:noProof/>
        </w:rPr>
        <w:fldChar w:fldCharType="separate"/>
      </w:r>
      <w:r>
        <w:rPr>
          <w:noProof/>
        </w:rPr>
        <w:t>41</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20.2</w:t>
      </w:r>
      <w:r>
        <w:rPr>
          <w:rFonts w:asciiTheme="minorHAnsi" w:eastAsiaTheme="minorEastAsia" w:hAnsiTheme="minorHAnsi" w:cstheme="minorBidi"/>
          <w:noProof/>
          <w:w w:val="100"/>
          <w:lang w:eastAsia="en-AU" w:bidi="ar-SA"/>
        </w:rPr>
        <w:tab/>
      </w:r>
      <w:r>
        <w:rPr>
          <w:noProof/>
        </w:rPr>
        <w:t>Tenant's obligations</w:t>
      </w:r>
      <w:r>
        <w:rPr>
          <w:noProof/>
        </w:rPr>
        <w:tab/>
      </w:r>
      <w:r>
        <w:rPr>
          <w:noProof/>
        </w:rPr>
        <w:fldChar w:fldCharType="begin"/>
      </w:r>
      <w:r>
        <w:rPr>
          <w:noProof/>
        </w:rPr>
        <w:instrText xml:space="preserve"> PAGEREF _Toc411870717 \h </w:instrText>
      </w:r>
      <w:r>
        <w:rPr>
          <w:noProof/>
        </w:rPr>
      </w:r>
      <w:r>
        <w:rPr>
          <w:noProof/>
        </w:rPr>
        <w:fldChar w:fldCharType="separate"/>
      </w:r>
      <w:r>
        <w:rPr>
          <w:noProof/>
        </w:rPr>
        <w:t>42</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20.3</w:t>
      </w:r>
      <w:r>
        <w:rPr>
          <w:rFonts w:asciiTheme="minorHAnsi" w:eastAsiaTheme="minorEastAsia" w:hAnsiTheme="minorHAnsi" w:cstheme="minorBidi"/>
          <w:noProof/>
          <w:w w:val="100"/>
          <w:lang w:eastAsia="en-AU" w:bidi="ar-SA"/>
        </w:rPr>
        <w:tab/>
      </w:r>
      <w:r>
        <w:rPr>
          <w:noProof/>
        </w:rPr>
        <w:t>Breach</w:t>
      </w:r>
      <w:r>
        <w:rPr>
          <w:noProof/>
        </w:rPr>
        <w:tab/>
      </w:r>
      <w:r>
        <w:rPr>
          <w:noProof/>
        </w:rPr>
        <w:fldChar w:fldCharType="begin"/>
      </w:r>
      <w:r>
        <w:rPr>
          <w:noProof/>
        </w:rPr>
        <w:instrText xml:space="preserve"> PAGEREF _Toc411870718 \h </w:instrText>
      </w:r>
      <w:r>
        <w:rPr>
          <w:noProof/>
        </w:rPr>
      </w:r>
      <w:r>
        <w:rPr>
          <w:noProof/>
        </w:rPr>
        <w:fldChar w:fldCharType="separate"/>
      </w:r>
      <w:r>
        <w:rPr>
          <w:noProof/>
        </w:rPr>
        <w:t>42</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20.4</w:t>
      </w:r>
      <w:r>
        <w:rPr>
          <w:rFonts w:asciiTheme="minorHAnsi" w:eastAsiaTheme="minorEastAsia" w:hAnsiTheme="minorHAnsi" w:cstheme="minorBidi"/>
          <w:noProof/>
          <w:w w:val="100"/>
          <w:lang w:eastAsia="en-AU" w:bidi="ar-SA"/>
        </w:rPr>
        <w:tab/>
      </w:r>
      <w:r>
        <w:rPr>
          <w:noProof/>
        </w:rPr>
        <w:t>Assignment</w:t>
      </w:r>
      <w:r>
        <w:rPr>
          <w:noProof/>
        </w:rPr>
        <w:tab/>
      </w:r>
      <w:r>
        <w:rPr>
          <w:noProof/>
        </w:rPr>
        <w:fldChar w:fldCharType="begin"/>
      </w:r>
      <w:r>
        <w:rPr>
          <w:noProof/>
        </w:rPr>
        <w:instrText xml:space="preserve"> PAGEREF _Toc411870719 \h </w:instrText>
      </w:r>
      <w:r>
        <w:rPr>
          <w:noProof/>
        </w:rPr>
      </w:r>
      <w:r>
        <w:rPr>
          <w:noProof/>
        </w:rPr>
        <w:fldChar w:fldCharType="separate"/>
      </w:r>
      <w:r>
        <w:rPr>
          <w:noProof/>
        </w:rPr>
        <w:t>42</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20.5</w:t>
      </w:r>
      <w:r>
        <w:rPr>
          <w:rFonts w:asciiTheme="minorHAnsi" w:eastAsiaTheme="minorEastAsia" w:hAnsiTheme="minorHAnsi" w:cstheme="minorBidi"/>
          <w:noProof/>
          <w:w w:val="100"/>
          <w:lang w:eastAsia="en-AU" w:bidi="ar-SA"/>
        </w:rPr>
        <w:tab/>
      </w:r>
      <w:r>
        <w:rPr>
          <w:noProof/>
        </w:rPr>
        <w:t>Reduced area for Licensed Area 1</w:t>
      </w:r>
      <w:r>
        <w:rPr>
          <w:noProof/>
        </w:rPr>
        <w:tab/>
      </w:r>
      <w:r>
        <w:rPr>
          <w:noProof/>
        </w:rPr>
        <w:fldChar w:fldCharType="begin"/>
      </w:r>
      <w:r>
        <w:rPr>
          <w:noProof/>
        </w:rPr>
        <w:instrText xml:space="preserve"> PAGEREF _Toc411870720 \h </w:instrText>
      </w:r>
      <w:r>
        <w:rPr>
          <w:noProof/>
        </w:rPr>
      </w:r>
      <w:r>
        <w:rPr>
          <w:noProof/>
        </w:rPr>
        <w:fldChar w:fldCharType="separate"/>
      </w:r>
      <w:r>
        <w:rPr>
          <w:noProof/>
        </w:rPr>
        <w:t>43</w:t>
      </w:r>
      <w:r>
        <w:rPr>
          <w:noProof/>
        </w:rPr>
        <w:fldChar w:fldCharType="end"/>
      </w:r>
    </w:p>
    <w:p w:rsidR="001B3D5D" w:rsidRDefault="004D5502">
      <w:pPr>
        <w:pStyle w:val="TOC2"/>
        <w:rPr>
          <w:rFonts w:asciiTheme="minorHAnsi" w:eastAsiaTheme="minorEastAsia" w:hAnsiTheme="minorHAnsi" w:cstheme="minorBidi"/>
          <w:b w:val="0"/>
          <w:bCs w:val="0"/>
          <w:noProof/>
          <w:w w:val="100"/>
          <w:sz w:val="22"/>
          <w:szCs w:val="22"/>
          <w:lang w:eastAsia="en-AU" w:bidi="ar-SA"/>
        </w:rPr>
      </w:pPr>
      <w:r>
        <w:rPr>
          <w:noProof/>
        </w:rPr>
        <w:t>21.</w:t>
      </w:r>
      <w:r>
        <w:rPr>
          <w:rFonts w:asciiTheme="minorHAnsi" w:eastAsiaTheme="minorEastAsia" w:hAnsiTheme="minorHAnsi" w:cstheme="minorBidi"/>
          <w:b w:val="0"/>
          <w:bCs w:val="0"/>
          <w:noProof/>
          <w:w w:val="100"/>
          <w:sz w:val="22"/>
          <w:szCs w:val="22"/>
          <w:lang w:eastAsia="en-AU" w:bidi="ar-SA"/>
        </w:rPr>
        <w:tab/>
      </w:r>
      <w:r>
        <w:rPr>
          <w:noProof/>
        </w:rPr>
        <w:t>Retail Act</w:t>
      </w:r>
      <w:r>
        <w:rPr>
          <w:noProof/>
        </w:rPr>
        <w:tab/>
      </w:r>
      <w:r>
        <w:rPr>
          <w:noProof/>
        </w:rPr>
        <w:fldChar w:fldCharType="begin"/>
      </w:r>
      <w:r>
        <w:rPr>
          <w:noProof/>
        </w:rPr>
        <w:instrText xml:space="preserve"> PAGEREF _Toc411870721 \h </w:instrText>
      </w:r>
      <w:r>
        <w:rPr>
          <w:noProof/>
        </w:rPr>
      </w:r>
      <w:r>
        <w:rPr>
          <w:noProof/>
        </w:rPr>
        <w:fldChar w:fldCharType="separate"/>
      </w:r>
      <w:r>
        <w:rPr>
          <w:noProof/>
        </w:rPr>
        <w:t>43</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21.1</w:t>
      </w:r>
      <w:r>
        <w:rPr>
          <w:rFonts w:asciiTheme="minorHAnsi" w:eastAsiaTheme="minorEastAsia" w:hAnsiTheme="minorHAnsi" w:cstheme="minorBidi"/>
          <w:noProof/>
          <w:w w:val="100"/>
          <w:lang w:eastAsia="en-AU" w:bidi="ar-SA"/>
        </w:rPr>
        <w:tab/>
      </w:r>
      <w:r>
        <w:rPr>
          <w:noProof/>
        </w:rPr>
        <w:t>No application</w:t>
      </w:r>
      <w:r>
        <w:rPr>
          <w:noProof/>
        </w:rPr>
        <w:tab/>
      </w:r>
      <w:r>
        <w:rPr>
          <w:noProof/>
        </w:rPr>
        <w:fldChar w:fldCharType="begin"/>
      </w:r>
      <w:r>
        <w:rPr>
          <w:noProof/>
        </w:rPr>
        <w:instrText xml:space="preserve"> PAGEREF _Toc411870722 \h </w:instrText>
      </w:r>
      <w:r>
        <w:rPr>
          <w:noProof/>
        </w:rPr>
      </w:r>
      <w:r>
        <w:rPr>
          <w:noProof/>
        </w:rPr>
        <w:fldChar w:fldCharType="separate"/>
      </w:r>
      <w:r>
        <w:rPr>
          <w:noProof/>
        </w:rPr>
        <w:t>43</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21.2</w:t>
      </w:r>
      <w:r>
        <w:rPr>
          <w:rFonts w:asciiTheme="minorHAnsi" w:eastAsiaTheme="minorEastAsia" w:hAnsiTheme="minorHAnsi" w:cstheme="minorBidi"/>
          <w:noProof/>
          <w:w w:val="100"/>
          <w:lang w:eastAsia="en-AU" w:bidi="ar-SA"/>
        </w:rPr>
        <w:tab/>
      </w:r>
      <w:r>
        <w:rPr>
          <w:noProof/>
        </w:rPr>
        <w:t>Tenant not to cause Retail Act to apply</w:t>
      </w:r>
      <w:r>
        <w:rPr>
          <w:noProof/>
        </w:rPr>
        <w:tab/>
      </w:r>
      <w:r>
        <w:rPr>
          <w:noProof/>
        </w:rPr>
        <w:fldChar w:fldCharType="begin"/>
      </w:r>
      <w:r>
        <w:rPr>
          <w:noProof/>
        </w:rPr>
        <w:instrText xml:space="preserve"> PAGEREF _Toc411870723 \h </w:instrText>
      </w:r>
      <w:r>
        <w:rPr>
          <w:noProof/>
        </w:rPr>
      </w:r>
      <w:r>
        <w:rPr>
          <w:noProof/>
        </w:rPr>
        <w:fldChar w:fldCharType="separate"/>
      </w:r>
      <w:r>
        <w:rPr>
          <w:noProof/>
        </w:rPr>
        <w:t>43</w:t>
      </w:r>
      <w:r>
        <w:rPr>
          <w:noProof/>
        </w:rPr>
        <w:fldChar w:fldCharType="end"/>
      </w:r>
    </w:p>
    <w:p w:rsidR="001B3D5D" w:rsidRDefault="004D5502">
      <w:pPr>
        <w:pStyle w:val="TOC2"/>
        <w:rPr>
          <w:rFonts w:asciiTheme="minorHAnsi" w:eastAsiaTheme="minorEastAsia" w:hAnsiTheme="minorHAnsi" w:cstheme="minorBidi"/>
          <w:b w:val="0"/>
          <w:bCs w:val="0"/>
          <w:noProof/>
          <w:w w:val="100"/>
          <w:sz w:val="22"/>
          <w:szCs w:val="22"/>
          <w:lang w:eastAsia="en-AU" w:bidi="ar-SA"/>
        </w:rPr>
      </w:pPr>
      <w:r>
        <w:rPr>
          <w:noProof/>
        </w:rPr>
        <w:t>22.</w:t>
      </w:r>
      <w:r>
        <w:rPr>
          <w:rFonts w:asciiTheme="minorHAnsi" w:eastAsiaTheme="minorEastAsia" w:hAnsiTheme="minorHAnsi" w:cstheme="minorBidi"/>
          <w:b w:val="0"/>
          <w:bCs w:val="0"/>
          <w:noProof/>
          <w:w w:val="100"/>
          <w:sz w:val="22"/>
          <w:szCs w:val="22"/>
          <w:lang w:eastAsia="en-AU" w:bidi="ar-SA"/>
        </w:rPr>
        <w:tab/>
      </w:r>
      <w:r>
        <w:rPr>
          <w:noProof/>
        </w:rPr>
        <w:t>General</w:t>
      </w:r>
      <w:r>
        <w:rPr>
          <w:noProof/>
        </w:rPr>
        <w:tab/>
      </w:r>
      <w:r>
        <w:rPr>
          <w:noProof/>
        </w:rPr>
        <w:fldChar w:fldCharType="begin"/>
      </w:r>
      <w:r>
        <w:rPr>
          <w:noProof/>
        </w:rPr>
        <w:instrText xml:space="preserve"> PAGEREF _Toc411870724 \h </w:instrText>
      </w:r>
      <w:r>
        <w:rPr>
          <w:noProof/>
        </w:rPr>
      </w:r>
      <w:r>
        <w:rPr>
          <w:noProof/>
        </w:rPr>
        <w:fldChar w:fldCharType="separate"/>
      </w:r>
      <w:r>
        <w:rPr>
          <w:noProof/>
        </w:rPr>
        <w:t>43</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lastRenderedPageBreak/>
        <w:t>22.1</w:t>
      </w:r>
      <w:r>
        <w:rPr>
          <w:rFonts w:asciiTheme="minorHAnsi" w:eastAsiaTheme="minorEastAsia" w:hAnsiTheme="minorHAnsi" w:cstheme="minorBidi"/>
          <w:noProof/>
          <w:w w:val="100"/>
          <w:lang w:eastAsia="en-AU" w:bidi="ar-SA"/>
        </w:rPr>
        <w:tab/>
      </w:r>
      <w:r>
        <w:rPr>
          <w:noProof/>
        </w:rPr>
        <w:t>Duty</w:t>
      </w:r>
      <w:r>
        <w:rPr>
          <w:noProof/>
        </w:rPr>
        <w:tab/>
      </w:r>
      <w:r>
        <w:rPr>
          <w:noProof/>
        </w:rPr>
        <w:fldChar w:fldCharType="begin"/>
      </w:r>
      <w:r>
        <w:rPr>
          <w:noProof/>
        </w:rPr>
        <w:instrText xml:space="preserve"> PAGEREF _Toc411870725 \h </w:instrText>
      </w:r>
      <w:r>
        <w:rPr>
          <w:noProof/>
        </w:rPr>
      </w:r>
      <w:r>
        <w:rPr>
          <w:noProof/>
        </w:rPr>
        <w:fldChar w:fldCharType="separate"/>
      </w:r>
      <w:r>
        <w:rPr>
          <w:noProof/>
        </w:rPr>
        <w:t>43</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22.2</w:t>
      </w:r>
      <w:r>
        <w:rPr>
          <w:rFonts w:asciiTheme="minorHAnsi" w:eastAsiaTheme="minorEastAsia" w:hAnsiTheme="minorHAnsi" w:cstheme="minorBidi"/>
          <w:noProof/>
          <w:w w:val="100"/>
          <w:lang w:eastAsia="en-AU" w:bidi="ar-SA"/>
        </w:rPr>
        <w:tab/>
      </w:r>
      <w:r>
        <w:rPr>
          <w:noProof/>
        </w:rPr>
        <w:t>Costs</w:t>
      </w:r>
      <w:r>
        <w:rPr>
          <w:noProof/>
        </w:rPr>
        <w:tab/>
      </w:r>
      <w:r>
        <w:rPr>
          <w:noProof/>
        </w:rPr>
        <w:fldChar w:fldCharType="begin"/>
      </w:r>
      <w:r>
        <w:rPr>
          <w:noProof/>
        </w:rPr>
        <w:instrText xml:space="preserve"> PAGEREF _Toc411870726 \h </w:instrText>
      </w:r>
      <w:r>
        <w:rPr>
          <w:noProof/>
        </w:rPr>
      </w:r>
      <w:r>
        <w:rPr>
          <w:noProof/>
        </w:rPr>
        <w:fldChar w:fldCharType="separate"/>
      </w:r>
      <w:r>
        <w:rPr>
          <w:noProof/>
        </w:rPr>
        <w:t>43</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22.3</w:t>
      </w:r>
      <w:r>
        <w:rPr>
          <w:rFonts w:asciiTheme="minorHAnsi" w:eastAsiaTheme="minorEastAsia" w:hAnsiTheme="minorHAnsi" w:cstheme="minorBidi"/>
          <w:noProof/>
          <w:w w:val="100"/>
          <w:lang w:eastAsia="en-AU" w:bidi="ar-SA"/>
        </w:rPr>
        <w:tab/>
      </w:r>
      <w:r>
        <w:rPr>
          <w:noProof/>
        </w:rPr>
        <w:t>PPSA</w:t>
      </w:r>
      <w:r>
        <w:rPr>
          <w:noProof/>
        </w:rPr>
        <w:tab/>
      </w:r>
      <w:r>
        <w:rPr>
          <w:noProof/>
        </w:rPr>
        <w:fldChar w:fldCharType="begin"/>
      </w:r>
      <w:r>
        <w:rPr>
          <w:noProof/>
        </w:rPr>
        <w:instrText xml:space="preserve"> PAGEREF _Toc411870727 \h </w:instrText>
      </w:r>
      <w:r>
        <w:rPr>
          <w:noProof/>
        </w:rPr>
      </w:r>
      <w:r>
        <w:rPr>
          <w:noProof/>
        </w:rPr>
        <w:fldChar w:fldCharType="separate"/>
      </w:r>
      <w:r>
        <w:rPr>
          <w:noProof/>
        </w:rPr>
        <w:t>43</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22.4</w:t>
      </w:r>
      <w:r>
        <w:rPr>
          <w:rFonts w:asciiTheme="minorHAnsi" w:eastAsiaTheme="minorEastAsia" w:hAnsiTheme="minorHAnsi" w:cstheme="minorBidi"/>
          <w:noProof/>
          <w:w w:val="100"/>
          <w:lang w:eastAsia="en-AU" w:bidi="ar-SA"/>
        </w:rPr>
        <w:tab/>
      </w:r>
      <w:r>
        <w:rPr>
          <w:noProof/>
        </w:rPr>
        <w:t>Further assurances</w:t>
      </w:r>
      <w:r>
        <w:rPr>
          <w:noProof/>
        </w:rPr>
        <w:tab/>
      </w:r>
      <w:r>
        <w:rPr>
          <w:noProof/>
        </w:rPr>
        <w:fldChar w:fldCharType="begin"/>
      </w:r>
      <w:r>
        <w:rPr>
          <w:noProof/>
        </w:rPr>
        <w:instrText xml:space="preserve"> PAGEREF _Toc411870728 \h </w:instrText>
      </w:r>
      <w:r>
        <w:rPr>
          <w:noProof/>
        </w:rPr>
      </w:r>
      <w:r>
        <w:rPr>
          <w:noProof/>
        </w:rPr>
        <w:fldChar w:fldCharType="separate"/>
      </w:r>
      <w:r>
        <w:rPr>
          <w:noProof/>
        </w:rPr>
        <w:t>43</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22.5</w:t>
      </w:r>
      <w:r>
        <w:rPr>
          <w:rFonts w:asciiTheme="minorHAnsi" w:eastAsiaTheme="minorEastAsia" w:hAnsiTheme="minorHAnsi" w:cstheme="minorBidi"/>
          <w:noProof/>
          <w:w w:val="100"/>
          <w:lang w:eastAsia="en-AU" w:bidi="ar-SA"/>
        </w:rPr>
        <w:tab/>
      </w:r>
      <w:r>
        <w:rPr>
          <w:noProof/>
        </w:rPr>
        <w:t>Severability</w:t>
      </w:r>
      <w:r>
        <w:rPr>
          <w:noProof/>
        </w:rPr>
        <w:tab/>
      </w:r>
      <w:r>
        <w:rPr>
          <w:noProof/>
        </w:rPr>
        <w:fldChar w:fldCharType="begin"/>
      </w:r>
      <w:r>
        <w:rPr>
          <w:noProof/>
        </w:rPr>
        <w:instrText xml:space="preserve"> PAGEREF _Toc411870729 \h </w:instrText>
      </w:r>
      <w:r>
        <w:rPr>
          <w:noProof/>
        </w:rPr>
      </w:r>
      <w:r>
        <w:rPr>
          <w:noProof/>
        </w:rPr>
        <w:fldChar w:fldCharType="separate"/>
      </w:r>
      <w:r>
        <w:rPr>
          <w:noProof/>
        </w:rPr>
        <w:t>44</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22.6</w:t>
      </w:r>
      <w:r>
        <w:rPr>
          <w:rFonts w:asciiTheme="minorHAnsi" w:eastAsiaTheme="minorEastAsia" w:hAnsiTheme="minorHAnsi" w:cstheme="minorBidi"/>
          <w:noProof/>
          <w:w w:val="100"/>
          <w:lang w:eastAsia="en-AU" w:bidi="ar-SA"/>
        </w:rPr>
        <w:tab/>
      </w:r>
      <w:r>
        <w:rPr>
          <w:noProof/>
        </w:rPr>
        <w:t>Whole agreement</w:t>
      </w:r>
      <w:r>
        <w:rPr>
          <w:noProof/>
        </w:rPr>
        <w:tab/>
      </w:r>
      <w:r>
        <w:rPr>
          <w:noProof/>
        </w:rPr>
        <w:fldChar w:fldCharType="begin"/>
      </w:r>
      <w:r>
        <w:rPr>
          <w:noProof/>
        </w:rPr>
        <w:instrText xml:space="preserve"> PAGEREF _Toc411870730 \h </w:instrText>
      </w:r>
      <w:r>
        <w:rPr>
          <w:noProof/>
        </w:rPr>
      </w:r>
      <w:r>
        <w:rPr>
          <w:noProof/>
        </w:rPr>
        <w:fldChar w:fldCharType="separate"/>
      </w:r>
      <w:r>
        <w:rPr>
          <w:noProof/>
        </w:rPr>
        <w:t>44</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22.7</w:t>
      </w:r>
      <w:r>
        <w:rPr>
          <w:rFonts w:asciiTheme="minorHAnsi" w:eastAsiaTheme="minorEastAsia" w:hAnsiTheme="minorHAnsi" w:cstheme="minorBidi"/>
          <w:noProof/>
          <w:w w:val="100"/>
          <w:lang w:eastAsia="en-AU" w:bidi="ar-SA"/>
        </w:rPr>
        <w:tab/>
      </w:r>
      <w:r>
        <w:rPr>
          <w:noProof/>
        </w:rPr>
        <w:t>Effect of execution</w:t>
      </w:r>
      <w:r>
        <w:rPr>
          <w:noProof/>
        </w:rPr>
        <w:tab/>
      </w:r>
      <w:r>
        <w:rPr>
          <w:noProof/>
        </w:rPr>
        <w:fldChar w:fldCharType="begin"/>
      </w:r>
      <w:r>
        <w:rPr>
          <w:noProof/>
        </w:rPr>
        <w:instrText xml:space="preserve"> PAGEREF _Toc411870731 \h </w:instrText>
      </w:r>
      <w:r>
        <w:rPr>
          <w:noProof/>
        </w:rPr>
      </w:r>
      <w:r>
        <w:rPr>
          <w:noProof/>
        </w:rPr>
        <w:fldChar w:fldCharType="separate"/>
      </w:r>
      <w:r>
        <w:rPr>
          <w:noProof/>
        </w:rPr>
        <w:t>44</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22.8</w:t>
      </w:r>
      <w:r>
        <w:rPr>
          <w:rFonts w:asciiTheme="minorHAnsi" w:eastAsiaTheme="minorEastAsia" w:hAnsiTheme="minorHAnsi" w:cstheme="minorBidi"/>
          <w:noProof/>
          <w:w w:val="100"/>
          <w:lang w:eastAsia="en-AU" w:bidi="ar-SA"/>
        </w:rPr>
        <w:tab/>
      </w:r>
      <w:r>
        <w:rPr>
          <w:noProof/>
        </w:rPr>
        <w:t xml:space="preserve">Governing </w:t>
      </w:r>
      <w:r>
        <w:rPr>
          <w:noProof/>
        </w:rPr>
        <w:t>law</w:t>
      </w:r>
      <w:r>
        <w:rPr>
          <w:noProof/>
        </w:rPr>
        <w:tab/>
      </w:r>
      <w:r>
        <w:rPr>
          <w:noProof/>
        </w:rPr>
        <w:fldChar w:fldCharType="begin"/>
      </w:r>
      <w:r>
        <w:rPr>
          <w:noProof/>
        </w:rPr>
        <w:instrText xml:space="preserve"> PAGEREF _Toc411870732 \h </w:instrText>
      </w:r>
      <w:r>
        <w:rPr>
          <w:noProof/>
        </w:rPr>
      </w:r>
      <w:r>
        <w:rPr>
          <w:noProof/>
        </w:rPr>
        <w:fldChar w:fldCharType="separate"/>
      </w:r>
      <w:r>
        <w:rPr>
          <w:noProof/>
        </w:rPr>
        <w:t>44</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22.9</w:t>
      </w:r>
      <w:r>
        <w:rPr>
          <w:rFonts w:asciiTheme="minorHAnsi" w:eastAsiaTheme="minorEastAsia" w:hAnsiTheme="minorHAnsi" w:cstheme="minorBidi"/>
          <w:noProof/>
          <w:w w:val="100"/>
          <w:lang w:eastAsia="en-AU" w:bidi="ar-SA"/>
        </w:rPr>
        <w:tab/>
      </w:r>
      <w:r>
        <w:rPr>
          <w:noProof/>
        </w:rPr>
        <w:t>Compliance by others</w:t>
      </w:r>
      <w:r>
        <w:rPr>
          <w:noProof/>
        </w:rPr>
        <w:tab/>
      </w:r>
      <w:r>
        <w:rPr>
          <w:noProof/>
        </w:rPr>
        <w:fldChar w:fldCharType="begin"/>
      </w:r>
      <w:r>
        <w:rPr>
          <w:noProof/>
        </w:rPr>
        <w:instrText xml:space="preserve"> PAGEREF _Toc411870733 \h </w:instrText>
      </w:r>
      <w:r>
        <w:rPr>
          <w:noProof/>
        </w:rPr>
      </w:r>
      <w:r>
        <w:rPr>
          <w:noProof/>
        </w:rPr>
        <w:fldChar w:fldCharType="separate"/>
      </w:r>
      <w:r>
        <w:rPr>
          <w:noProof/>
        </w:rPr>
        <w:t>44</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22.10</w:t>
      </w:r>
      <w:r>
        <w:rPr>
          <w:rFonts w:asciiTheme="minorHAnsi" w:eastAsiaTheme="minorEastAsia" w:hAnsiTheme="minorHAnsi" w:cstheme="minorBidi"/>
          <w:noProof/>
          <w:w w:val="100"/>
          <w:lang w:eastAsia="en-AU" w:bidi="ar-SA"/>
        </w:rPr>
        <w:tab/>
      </w:r>
      <w:r>
        <w:rPr>
          <w:noProof/>
        </w:rPr>
        <w:t>Alterations</w:t>
      </w:r>
      <w:r>
        <w:rPr>
          <w:noProof/>
        </w:rPr>
        <w:tab/>
      </w:r>
      <w:r>
        <w:rPr>
          <w:noProof/>
        </w:rPr>
        <w:fldChar w:fldCharType="begin"/>
      </w:r>
      <w:r>
        <w:rPr>
          <w:noProof/>
        </w:rPr>
        <w:instrText xml:space="preserve"> PAGEREF _Toc41</w:instrText>
      </w:r>
      <w:r>
        <w:rPr>
          <w:noProof/>
        </w:rPr>
        <w:instrText xml:space="preserve">1870734 \h </w:instrText>
      </w:r>
      <w:r>
        <w:rPr>
          <w:noProof/>
        </w:rPr>
      </w:r>
      <w:r>
        <w:rPr>
          <w:noProof/>
        </w:rPr>
        <w:fldChar w:fldCharType="separate"/>
      </w:r>
      <w:r>
        <w:rPr>
          <w:noProof/>
        </w:rPr>
        <w:t>44</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22.11</w:t>
      </w:r>
      <w:r>
        <w:rPr>
          <w:rFonts w:asciiTheme="minorHAnsi" w:eastAsiaTheme="minorEastAsia" w:hAnsiTheme="minorHAnsi" w:cstheme="minorBidi"/>
          <w:noProof/>
          <w:w w:val="100"/>
          <w:lang w:eastAsia="en-AU" w:bidi="ar-SA"/>
        </w:rPr>
        <w:tab/>
      </w:r>
      <w:r>
        <w:rPr>
          <w:noProof/>
        </w:rPr>
        <w:t>Approvals and consents</w:t>
      </w:r>
      <w:r>
        <w:rPr>
          <w:noProof/>
        </w:rPr>
        <w:tab/>
      </w:r>
      <w:r>
        <w:rPr>
          <w:noProof/>
        </w:rPr>
        <w:fldChar w:fldCharType="begin"/>
      </w:r>
      <w:r>
        <w:rPr>
          <w:noProof/>
        </w:rPr>
        <w:instrText xml:space="preserve"> PAGEREF _Toc411870735 \h </w:instrText>
      </w:r>
      <w:r>
        <w:rPr>
          <w:noProof/>
        </w:rPr>
      </w:r>
      <w:r>
        <w:rPr>
          <w:noProof/>
        </w:rPr>
        <w:fldChar w:fldCharType="separate"/>
      </w:r>
      <w:r>
        <w:rPr>
          <w:noProof/>
        </w:rPr>
        <w:t>44</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22.12</w:t>
      </w:r>
      <w:r>
        <w:rPr>
          <w:rFonts w:asciiTheme="minorHAnsi" w:eastAsiaTheme="minorEastAsia" w:hAnsiTheme="minorHAnsi" w:cstheme="minorBidi"/>
          <w:noProof/>
          <w:w w:val="100"/>
          <w:lang w:eastAsia="en-AU" w:bidi="ar-SA"/>
        </w:rPr>
        <w:tab/>
      </w:r>
      <w:r>
        <w:rPr>
          <w:noProof/>
        </w:rPr>
        <w:t>Counterparts</w:t>
      </w:r>
      <w:r>
        <w:rPr>
          <w:noProof/>
        </w:rPr>
        <w:tab/>
      </w:r>
      <w:r>
        <w:rPr>
          <w:noProof/>
        </w:rPr>
        <w:fldChar w:fldCharType="begin"/>
      </w:r>
      <w:r>
        <w:rPr>
          <w:noProof/>
        </w:rPr>
        <w:instrText xml:space="preserve"> PAGEREF _Toc411870736 \h </w:instrText>
      </w:r>
      <w:r>
        <w:rPr>
          <w:noProof/>
        </w:rPr>
      </w:r>
      <w:r>
        <w:rPr>
          <w:noProof/>
        </w:rPr>
        <w:fldChar w:fldCharType="separate"/>
      </w:r>
      <w:r>
        <w:rPr>
          <w:noProof/>
        </w:rPr>
        <w:t>44</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22.13</w:t>
      </w:r>
      <w:r>
        <w:rPr>
          <w:rFonts w:asciiTheme="minorHAnsi" w:eastAsiaTheme="minorEastAsia" w:hAnsiTheme="minorHAnsi" w:cstheme="minorBidi"/>
          <w:noProof/>
          <w:w w:val="100"/>
          <w:lang w:eastAsia="en-AU" w:bidi="ar-SA"/>
        </w:rPr>
        <w:tab/>
      </w:r>
      <w:r>
        <w:rPr>
          <w:noProof/>
        </w:rPr>
        <w:t>Waiver</w:t>
      </w:r>
      <w:r>
        <w:rPr>
          <w:noProof/>
        </w:rPr>
        <w:tab/>
      </w:r>
      <w:r>
        <w:rPr>
          <w:noProof/>
        </w:rPr>
        <w:fldChar w:fldCharType="begin"/>
      </w:r>
      <w:r>
        <w:rPr>
          <w:noProof/>
        </w:rPr>
        <w:instrText xml:space="preserve"> PAGEREF _Toc411870737 \h </w:instrText>
      </w:r>
      <w:r>
        <w:rPr>
          <w:noProof/>
        </w:rPr>
      </w:r>
      <w:r>
        <w:rPr>
          <w:noProof/>
        </w:rPr>
        <w:fldChar w:fldCharType="separate"/>
      </w:r>
      <w:r>
        <w:rPr>
          <w:noProof/>
        </w:rPr>
        <w:t>44</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22.14</w:t>
      </w:r>
      <w:r>
        <w:rPr>
          <w:rFonts w:asciiTheme="minorHAnsi" w:eastAsiaTheme="minorEastAsia" w:hAnsiTheme="minorHAnsi" w:cstheme="minorBidi"/>
          <w:noProof/>
          <w:w w:val="100"/>
          <w:lang w:eastAsia="en-AU" w:bidi="ar-SA"/>
        </w:rPr>
        <w:tab/>
      </w:r>
      <w:r>
        <w:rPr>
          <w:noProof/>
        </w:rPr>
        <w:t>Relationship</w:t>
      </w:r>
      <w:r>
        <w:rPr>
          <w:noProof/>
        </w:rPr>
        <w:tab/>
      </w:r>
      <w:r>
        <w:rPr>
          <w:noProof/>
        </w:rPr>
        <w:fldChar w:fldCharType="begin"/>
      </w:r>
      <w:r>
        <w:rPr>
          <w:noProof/>
        </w:rPr>
        <w:instrText xml:space="preserve"> PAGEREF _Toc411870738 \h </w:instrText>
      </w:r>
      <w:r>
        <w:rPr>
          <w:noProof/>
        </w:rPr>
      </w:r>
      <w:r>
        <w:rPr>
          <w:noProof/>
        </w:rPr>
        <w:fldChar w:fldCharType="separate"/>
      </w:r>
      <w:r>
        <w:rPr>
          <w:noProof/>
        </w:rPr>
        <w:t>44</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22.15</w:t>
      </w:r>
      <w:r>
        <w:rPr>
          <w:rFonts w:asciiTheme="minorHAnsi" w:eastAsiaTheme="minorEastAsia" w:hAnsiTheme="minorHAnsi" w:cstheme="minorBidi"/>
          <w:noProof/>
          <w:w w:val="100"/>
          <w:lang w:eastAsia="en-AU" w:bidi="ar-SA"/>
        </w:rPr>
        <w:tab/>
      </w:r>
      <w:r>
        <w:rPr>
          <w:noProof/>
        </w:rPr>
        <w:t>Exclusion of statutory provisions</w:t>
      </w:r>
      <w:r>
        <w:rPr>
          <w:noProof/>
        </w:rPr>
        <w:tab/>
      </w:r>
      <w:r>
        <w:rPr>
          <w:noProof/>
        </w:rPr>
        <w:fldChar w:fldCharType="begin"/>
      </w:r>
      <w:r>
        <w:rPr>
          <w:noProof/>
        </w:rPr>
        <w:instrText xml:space="preserve"> PAGEREF _Toc411870739 \h </w:instrText>
      </w:r>
      <w:r>
        <w:rPr>
          <w:noProof/>
        </w:rPr>
      </w:r>
      <w:r>
        <w:rPr>
          <w:noProof/>
        </w:rPr>
        <w:fldChar w:fldCharType="separate"/>
      </w:r>
      <w:r>
        <w:rPr>
          <w:noProof/>
        </w:rPr>
        <w:t>45</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22.16</w:t>
      </w:r>
      <w:r>
        <w:rPr>
          <w:rFonts w:asciiTheme="minorHAnsi" w:eastAsiaTheme="minorEastAsia" w:hAnsiTheme="minorHAnsi" w:cstheme="minorBidi"/>
          <w:noProof/>
          <w:w w:val="100"/>
          <w:lang w:eastAsia="en-AU" w:bidi="ar-SA"/>
        </w:rPr>
        <w:tab/>
      </w:r>
      <w:r>
        <w:rPr>
          <w:noProof/>
        </w:rPr>
        <w:t>Continuing obligations</w:t>
      </w:r>
      <w:r>
        <w:rPr>
          <w:noProof/>
        </w:rPr>
        <w:tab/>
      </w:r>
      <w:r>
        <w:rPr>
          <w:noProof/>
        </w:rPr>
        <w:fldChar w:fldCharType="begin"/>
      </w:r>
      <w:r>
        <w:rPr>
          <w:noProof/>
        </w:rPr>
        <w:instrText xml:space="preserve"> PAGEREF _Toc411870740 \h </w:instrText>
      </w:r>
      <w:r>
        <w:rPr>
          <w:noProof/>
        </w:rPr>
      </w:r>
      <w:r>
        <w:rPr>
          <w:noProof/>
        </w:rPr>
        <w:fldChar w:fldCharType="separate"/>
      </w:r>
      <w:r>
        <w:rPr>
          <w:noProof/>
        </w:rPr>
        <w:t>45</w:t>
      </w:r>
      <w:r>
        <w:rPr>
          <w:noProof/>
        </w:rPr>
        <w:fldChar w:fldCharType="end"/>
      </w:r>
    </w:p>
    <w:p w:rsidR="001B3D5D" w:rsidRDefault="004D5502">
      <w:pPr>
        <w:pStyle w:val="TOC3"/>
        <w:rPr>
          <w:rFonts w:asciiTheme="minorHAnsi" w:eastAsiaTheme="minorEastAsia" w:hAnsiTheme="minorHAnsi" w:cstheme="minorBidi"/>
          <w:noProof/>
          <w:w w:val="100"/>
          <w:lang w:eastAsia="en-AU" w:bidi="ar-SA"/>
        </w:rPr>
      </w:pPr>
      <w:r>
        <w:rPr>
          <w:noProof/>
        </w:rPr>
        <w:t>22.17</w:t>
      </w:r>
      <w:r>
        <w:rPr>
          <w:rFonts w:asciiTheme="minorHAnsi" w:eastAsiaTheme="minorEastAsia" w:hAnsiTheme="minorHAnsi" w:cstheme="minorBidi"/>
          <w:noProof/>
          <w:w w:val="100"/>
          <w:lang w:eastAsia="en-AU" w:bidi="ar-SA"/>
        </w:rPr>
        <w:tab/>
      </w:r>
      <w:r>
        <w:rPr>
          <w:noProof/>
        </w:rPr>
        <w:t>Caveats</w:t>
      </w:r>
      <w:r>
        <w:rPr>
          <w:noProof/>
        </w:rPr>
        <w:tab/>
      </w:r>
      <w:r>
        <w:rPr>
          <w:noProof/>
        </w:rPr>
        <w:fldChar w:fldCharType="begin"/>
      </w:r>
      <w:r>
        <w:rPr>
          <w:noProof/>
        </w:rPr>
        <w:instrText xml:space="preserve"> PAGEREF _Toc411870741 \h </w:instrText>
      </w:r>
      <w:r>
        <w:rPr>
          <w:noProof/>
        </w:rPr>
      </w:r>
      <w:r>
        <w:rPr>
          <w:noProof/>
        </w:rPr>
        <w:fldChar w:fldCharType="separate"/>
      </w:r>
      <w:r>
        <w:rPr>
          <w:noProof/>
        </w:rPr>
        <w:t>45</w:t>
      </w:r>
      <w:r>
        <w:rPr>
          <w:noProof/>
        </w:rPr>
        <w:fldChar w:fldCharType="end"/>
      </w:r>
    </w:p>
    <w:p w:rsidR="001B3D5D" w:rsidRDefault="004D5502">
      <w:pPr>
        <w:pStyle w:val="TOC2"/>
        <w:rPr>
          <w:rFonts w:asciiTheme="minorHAnsi" w:eastAsiaTheme="minorEastAsia" w:hAnsiTheme="minorHAnsi" w:cstheme="minorBidi"/>
          <w:b w:val="0"/>
          <w:bCs w:val="0"/>
          <w:noProof/>
          <w:w w:val="100"/>
          <w:sz w:val="22"/>
          <w:szCs w:val="22"/>
          <w:lang w:eastAsia="en-AU" w:bidi="ar-SA"/>
        </w:rPr>
      </w:pPr>
      <w:r>
        <w:rPr>
          <w:noProof/>
        </w:rPr>
        <w:t>23.</w:t>
      </w:r>
      <w:r>
        <w:rPr>
          <w:rFonts w:asciiTheme="minorHAnsi" w:eastAsiaTheme="minorEastAsia" w:hAnsiTheme="minorHAnsi" w:cstheme="minorBidi"/>
          <w:b w:val="0"/>
          <w:bCs w:val="0"/>
          <w:noProof/>
          <w:w w:val="100"/>
          <w:sz w:val="22"/>
          <w:szCs w:val="22"/>
          <w:lang w:eastAsia="en-AU" w:bidi="ar-SA"/>
        </w:rPr>
        <w:tab/>
      </w:r>
      <w:r>
        <w:rPr>
          <w:noProof/>
        </w:rPr>
        <w:t>If the Head-Lease ends</w:t>
      </w:r>
      <w:r>
        <w:rPr>
          <w:noProof/>
        </w:rPr>
        <w:tab/>
      </w:r>
      <w:r>
        <w:rPr>
          <w:noProof/>
        </w:rPr>
        <w:fldChar w:fldCharType="begin"/>
      </w:r>
      <w:r>
        <w:rPr>
          <w:noProof/>
        </w:rPr>
        <w:instrText xml:space="preserve"> PAGEREF _Toc411870742 \h </w:instrText>
      </w:r>
      <w:r>
        <w:rPr>
          <w:noProof/>
        </w:rPr>
      </w:r>
      <w:r>
        <w:rPr>
          <w:noProof/>
        </w:rPr>
        <w:fldChar w:fldCharType="separate"/>
      </w:r>
      <w:r>
        <w:rPr>
          <w:noProof/>
        </w:rPr>
        <w:t>45</w:t>
      </w:r>
      <w:r>
        <w:rPr>
          <w:noProof/>
        </w:rPr>
        <w:fldChar w:fldCharType="end"/>
      </w:r>
    </w:p>
    <w:p w:rsidR="001B3D5D" w:rsidRDefault="004D5502">
      <w:pPr>
        <w:pStyle w:val="TOC1"/>
        <w:rPr>
          <w:rFonts w:asciiTheme="minorHAnsi" w:eastAsiaTheme="minorEastAsia" w:hAnsiTheme="minorHAnsi" w:cstheme="minorBidi"/>
          <w:b w:val="0"/>
          <w:bCs w:val="0"/>
          <w:noProof/>
          <w:w w:val="100"/>
          <w:sz w:val="22"/>
          <w:szCs w:val="22"/>
          <w:lang w:eastAsia="en-AU" w:bidi="ar-SA"/>
        </w:rPr>
      </w:pPr>
      <w:r>
        <w:rPr>
          <w:noProof/>
        </w:rPr>
        <w:t>Signing page</w:t>
      </w:r>
      <w:r>
        <w:rPr>
          <w:noProof/>
        </w:rPr>
        <w:tab/>
      </w:r>
      <w:r>
        <w:rPr>
          <w:noProof/>
        </w:rPr>
        <w:fldChar w:fldCharType="begin"/>
      </w:r>
      <w:r>
        <w:rPr>
          <w:noProof/>
        </w:rPr>
        <w:instrText xml:space="preserve"> PAGEREF _Toc411870743 \h </w:instrText>
      </w:r>
      <w:r>
        <w:rPr>
          <w:noProof/>
        </w:rPr>
      </w:r>
      <w:r>
        <w:rPr>
          <w:noProof/>
        </w:rPr>
        <w:fldChar w:fldCharType="separate"/>
      </w:r>
      <w:r>
        <w:rPr>
          <w:noProof/>
        </w:rPr>
        <w:t>46</w:t>
      </w:r>
      <w:r>
        <w:rPr>
          <w:noProof/>
        </w:rPr>
        <w:fldChar w:fldCharType="end"/>
      </w:r>
    </w:p>
    <w:p w:rsidR="001B3D5D" w:rsidRDefault="004D5502">
      <w:pPr>
        <w:pStyle w:val="TOC2"/>
        <w:rPr>
          <w:rFonts w:asciiTheme="minorHAnsi" w:eastAsiaTheme="minorEastAsia" w:hAnsiTheme="minorHAnsi" w:cstheme="minorBidi"/>
          <w:b w:val="0"/>
          <w:bCs w:val="0"/>
          <w:noProof/>
          <w:w w:val="100"/>
          <w:sz w:val="22"/>
          <w:szCs w:val="22"/>
          <w:lang w:eastAsia="en-AU" w:bidi="ar-SA"/>
        </w:rPr>
      </w:pPr>
      <w:r>
        <w:rPr>
          <w:noProof/>
        </w:rPr>
        <w:t>Schedule 1 – Landlord's Fixtures</w:t>
      </w:r>
      <w:r>
        <w:rPr>
          <w:noProof/>
        </w:rPr>
        <w:tab/>
      </w:r>
      <w:r>
        <w:rPr>
          <w:noProof/>
        </w:rPr>
        <w:fldChar w:fldCharType="begin"/>
      </w:r>
      <w:r>
        <w:rPr>
          <w:noProof/>
        </w:rPr>
        <w:instrText xml:space="preserve"> PAGEREF _Toc411870744 \h </w:instrText>
      </w:r>
      <w:r>
        <w:rPr>
          <w:noProof/>
        </w:rPr>
      </w:r>
      <w:r>
        <w:rPr>
          <w:noProof/>
        </w:rPr>
        <w:fldChar w:fldCharType="separate"/>
      </w:r>
      <w:r>
        <w:rPr>
          <w:noProof/>
        </w:rPr>
        <w:t>47</w:t>
      </w:r>
      <w:r>
        <w:rPr>
          <w:noProof/>
        </w:rPr>
        <w:fldChar w:fldCharType="end"/>
      </w:r>
    </w:p>
    <w:p w:rsidR="001B3D5D" w:rsidRDefault="004D5502">
      <w:pPr>
        <w:pStyle w:val="TOC2"/>
        <w:rPr>
          <w:rFonts w:asciiTheme="minorHAnsi" w:eastAsiaTheme="minorEastAsia" w:hAnsiTheme="minorHAnsi" w:cstheme="minorBidi"/>
          <w:b w:val="0"/>
          <w:bCs w:val="0"/>
          <w:noProof/>
          <w:w w:val="100"/>
          <w:sz w:val="22"/>
          <w:szCs w:val="22"/>
          <w:lang w:eastAsia="en-AU" w:bidi="ar-SA"/>
        </w:rPr>
      </w:pPr>
      <w:r>
        <w:rPr>
          <w:noProof/>
        </w:rPr>
        <w:t>Schedule 2 – Other expenses</w:t>
      </w:r>
      <w:r>
        <w:rPr>
          <w:noProof/>
        </w:rPr>
        <w:tab/>
      </w:r>
      <w:r>
        <w:rPr>
          <w:noProof/>
        </w:rPr>
        <w:fldChar w:fldCharType="begin"/>
      </w:r>
      <w:r>
        <w:rPr>
          <w:noProof/>
        </w:rPr>
        <w:instrText xml:space="preserve"> PAGEREF _Toc411870745 \h </w:instrText>
      </w:r>
      <w:r>
        <w:rPr>
          <w:noProof/>
        </w:rPr>
      </w:r>
      <w:r>
        <w:rPr>
          <w:noProof/>
        </w:rPr>
        <w:fldChar w:fldCharType="separate"/>
      </w:r>
      <w:r>
        <w:rPr>
          <w:noProof/>
        </w:rPr>
        <w:t>48</w:t>
      </w:r>
      <w:r>
        <w:rPr>
          <w:noProof/>
        </w:rPr>
        <w:fldChar w:fldCharType="end"/>
      </w:r>
    </w:p>
    <w:p w:rsidR="001B3D5D" w:rsidRDefault="004D5502">
      <w:pPr>
        <w:pStyle w:val="TOC2"/>
        <w:rPr>
          <w:rFonts w:asciiTheme="minorHAnsi" w:eastAsiaTheme="minorEastAsia" w:hAnsiTheme="minorHAnsi" w:cstheme="minorBidi"/>
          <w:b w:val="0"/>
          <w:bCs w:val="0"/>
          <w:noProof/>
          <w:w w:val="100"/>
          <w:sz w:val="22"/>
          <w:szCs w:val="22"/>
          <w:lang w:eastAsia="en-AU" w:bidi="ar-SA"/>
        </w:rPr>
      </w:pPr>
      <w:r>
        <w:rPr>
          <w:noProof/>
        </w:rPr>
        <w:t>Schedule 3 – Landlord's Maintenance Items</w:t>
      </w:r>
      <w:r>
        <w:rPr>
          <w:noProof/>
        </w:rPr>
        <w:tab/>
      </w:r>
      <w:r>
        <w:rPr>
          <w:noProof/>
        </w:rPr>
        <w:fldChar w:fldCharType="begin"/>
      </w:r>
      <w:r>
        <w:rPr>
          <w:noProof/>
        </w:rPr>
        <w:instrText xml:space="preserve"> PAGEREF _Toc411870746 \h</w:instrText>
      </w:r>
      <w:r>
        <w:rPr>
          <w:noProof/>
        </w:rPr>
        <w:instrText xml:space="preserve"> </w:instrText>
      </w:r>
      <w:r>
        <w:rPr>
          <w:noProof/>
        </w:rPr>
      </w:r>
      <w:r>
        <w:rPr>
          <w:noProof/>
        </w:rPr>
        <w:fldChar w:fldCharType="separate"/>
      </w:r>
      <w:r>
        <w:rPr>
          <w:noProof/>
        </w:rPr>
        <w:t>50</w:t>
      </w:r>
      <w:r>
        <w:rPr>
          <w:noProof/>
        </w:rPr>
        <w:fldChar w:fldCharType="end"/>
      </w:r>
    </w:p>
    <w:p w:rsidR="001B3D5D" w:rsidRDefault="004D5502">
      <w:r>
        <w:fldChar w:fldCharType="end"/>
      </w:r>
    </w:p>
    <w:tbl>
      <w:tblPr>
        <w:tblW w:w="0" w:type="auto"/>
        <w:tblLayout w:type="fixed"/>
        <w:tblCellMar>
          <w:left w:w="0" w:type="dxa"/>
          <w:right w:w="0" w:type="dxa"/>
        </w:tblCellMar>
        <w:tblLook w:val="0000" w:firstRow="0" w:lastRow="0" w:firstColumn="0" w:lastColumn="0" w:noHBand="0" w:noVBand="0"/>
      </w:tblPr>
      <w:tblGrid>
        <w:gridCol w:w="9356"/>
      </w:tblGrid>
      <w:tr w:rsidR="001B3D5D">
        <w:trPr>
          <w:cantSplit/>
          <w:trHeight w:hRule="exact" w:val="20"/>
        </w:trPr>
        <w:tc>
          <w:tcPr>
            <w:tcW w:w="9356" w:type="dxa"/>
            <w:tcBorders>
              <w:bottom w:val="single" w:sz="4" w:space="0" w:color="auto"/>
            </w:tcBorders>
          </w:tcPr>
          <w:p w:rsidR="001B3D5D" w:rsidRDefault="001B3D5D"/>
        </w:tc>
      </w:tr>
    </w:tbl>
    <w:p w:rsidR="001B3D5D" w:rsidRDefault="001B3D5D"/>
    <w:p w:rsidR="001B3D5D" w:rsidRDefault="004D5502">
      <w:pPr>
        <w:pStyle w:val="MEChapterheading"/>
      </w:pPr>
      <w:r>
        <w:br w:type="page"/>
      </w:r>
      <w:bookmarkStart w:id="17" w:name="_Toc334110370"/>
      <w:bookmarkStart w:id="18" w:name="_Toc345578182"/>
      <w:bookmarkStart w:id="19" w:name="_Toc411870594"/>
      <w:r>
        <w:lastRenderedPageBreak/>
        <w:t>Information table</w:t>
      </w:r>
      <w:bookmarkEnd w:id="17"/>
      <w:bookmarkEnd w:id="18"/>
      <w:bookmarkEnd w:id="19"/>
    </w:p>
    <w:tbl>
      <w:tblPr>
        <w:tblW w:w="9356" w:type="dxa"/>
        <w:tblLayout w:type="fixed"/>
        <w:tblCellMar>
          <w:left w:w="0" w:type="dxa"/>
          <w:right w:w="0" w:type="dxa"/>
        </w:tblCellMar>
        <w:tblLook w:val="0000" w:firstRow="0" w:lastRow="0" w:firstColumn="0" w:lastColumn="0" w:noHBand="0" w:noVBand="0"/>
      </w:tblPr>
      <w:tblGrid>
        <w:gridCol w:w="2268"/>
        <w:gridCol w:w="7088"/>
      </w:tblGrid>
      <w:tr w:rsidR="001B3D5D">
        <w:tc>
          <w:tcPr>
            <w:tcW w:w="2268" w:type="dxa"/>
          </w:tcPr>
          <w:p w:rsidR="001B3D5D" w:rsidRDefault="004D5502">
            <w:pPr>
              <w:pStyle w:val="MESubheading"/>
            </w:pPr>
            <w:r>
              <w:t>Date</w:t>
            </w:r>
          </w:p>
        </w:tc>
        <w:tc>
          <w:tcPr>
            <w:tcW w:w="7088" w:type="dxa"/>
          </w:tcPr>
          <w:p w:rsidR="001B3D5D" w:rsidRDefault="001B3D5D"/>
        </w:tc>
      </w:tr>
      <w:tr w:rsidR="001B3D5D">
        <w:trPr>
          <w:cantSplit/>
        </w:trPr>
        <w:tc>
          <w:tcPr>
            <w:tcW w:w="9356" w:type="dxa"/>
            <w:gridSpan w:val="2"/>
          </w:tcPr>
          <w:p w:rsidR="001B3D5D" w:rsidRDefault="004D5502">
            <w:pPr>
              <w:pStyle w:val="MESubheading"/>
            </w:pPr>
            <w:r>
              <w:t>Parties</w:t>
            </w:r>
          </w:p>
          <w:tbl>
            <w:tblPr>
              <w:tblW w:w="9356" w:type="dxa"/>
              <w:tblLayout w:type="fixed"/>
              <w:tblCellMar>
                <w:left w:w="0" w:type="dxa"/>
                <w:right w:w="0" w:type="dxa"/>
              </w:tblCellMar>
              <w:tblLook w:val="0000" w:firstRow="0" w:lastRow="0" w:firstColumn="0" w:lastColumn="0" w:noHBand="0" w:noVBand="0"/>
            </w:tblPr>
            <w:tblGrid>
              <w:gridCol w:w="2268"/>
              <w:gridCol w:w="7088"/>
            </w:tblGrid>
            <w:tr w:rsidR="001B3D5D">
              <w:tc>
                <w:tcPr>
                  <w:tcW w:w="2268" w:type="dxa"/>
                </w:tcPr>
                <w:p w:rsidR="001B3D5D" w:rsidRDefault="004D5502">
                  <w:pPr>
                    <w:pStyle w:val="PartiesDetails"/>
                    <w:rPr>
                      <w:rFonts w:ascii="Arial" w:hAnsi="Arial"/>
                      <w:sz w:val="20"/>
                    </w:rPr>
                  </w:pPr>
                  <w:r>
                    <w:rPr>
                      <w:rFonts w:ascii="Arial" w:hAnsi="Arial"/>
                      <w:sz w:val="20"/>
                    </w:rPr>
                    <w:t>Name</w:t>
                  </w:r>
                </w:p>
              </w:tc>
              <w:tc>
                <w:tcPr>
                  <w:tcW w:w="7088" w:type="dxa"/>
                </w:tcPr>
                <w:p w:rsidR="001B3D5D" w:rsidRDefault="004D5502">
                  <w:pPr>
                    <w:pStyle w:val="PartiesDetails"/>
                    <w:keepNext/>
                    <w:outlineLvl w:val="0"/>
                    <w:rPr>
                      <w:b/>
                      <w:i/>
                    </w:rPr>
                  </w:pPr>
                  <w:r>
                    <w:rPr>
                      <w:b/>
                    </w:rPr>
                    <w:t>Melbourne Market Authority</w:t>
                  </w:r>
                  <w:r>
                    <w:rPr>
                      <w:bCs/>
                    </w:rPr>
                    <w:t xml:space="preserve">, a body corporate established under section 4 of the </w:t>
                  </w:r>
                  <w:r>
                    <w:rPr>
                      <w:bCs/>
                      <w:i/>
                    </w:rPr>
                    <w:t>Melbourne Market Authority Act 1977</w:t>
                  </w:r>
                  <w:r>
                    <w:rPr>
                      <w:bCs/>
                    </w:rPr>
                    <w:t xml:space="preserve"> (Vic)</w:t>
                  </w:r>
                </w:p>
              </w:tc>
            </w:tr>
            <w:tr w:rsidR="001B3D5D">
              <w:tc>
                <w:tcPr>
                  <w:tcW w:w="2268" w:type="dxa"/>
                </w:tcPr>
                <w:p w:rsidR="001B3D5D" w:rsidRDefault="004D5502">
                  <w:pPr>
                    <w:pStyle w:val="PartiesDetails"/>
                    <w:rPr>
                      <w:rFonts w:ascii="Arial" w:hAnsi="Arial"/>
                      <w:sz w:val="20"/>
                    </w:rPr>
                  </w:pPr>
                  <w:bookmarkStart w:id="20" w:name="bkNoABN1"/>
                  <w:r>
                    <w:rPr>
                      <w:rFonts w:ascii="Arial" w:hAnsi="Arial"/>
                      <w:sz w:val="20"/>
                    </w:rPr>
                    <w:t>ABN</w:t>
                  </w:r>
                </w:p>
              </w:tc>
              <w:tc>
                <w:tcPr>
                  <w:tcW w:w="7088" w:type="dxa"/>
                </w:tcPr>
                <w:p w:rsidR="001B3D5D" w:rsidRDefault="004D5502">
                  <w:pPr>
                    <w:pStyle w:val="PartiesDetails"/>
                  </w:pPr>
                  <w:r>
                    <w:t xml:space="preserve">56 160 141 </w:t>
                  </w:r>
                  <w:r>
                    <w:t>887</w:t>
                  </w:r>
                </w:p>
              </w:tc>
            </w:tr>
            <w:bookmarkEnd w:id="20"/>
            <w:tr w:rsidR="001B3D5D">
              <w:tc>
                <w:tcPr>
                  <w:tcW w:w="2268" w:type="dxa"/>
                </w:tcPr>
                <w:p w:rsidR="001B3D5D" w:rsidRDefault="004D5502">
                  <w:pPr>
                    <w:pStyle w:val="PartiesDetails"/>
                    <w:rPr>
                      <w:rFonts w:ascii="Arial" w:hAnsi="Arial"/>
                      <w:sz w:val="20"/>
                    </w:rPr>
                  </w:pPr>
                  <w:r>
                    <w:rPr>
                      <w:rFonts w:ascii="Arial" w:hAnsi="Arial"/>
                      <w:sz w:val="20"/>
                    </w:rPr>
                    <w:t>Short form name</w:t>
                  </w:r>
                </w:p>
              </w:tc>
              <w:tc>
                <w:tcPr>
                  <w:tcW w:w="7088" w:type="dxa"/>
                </w:tcPr>
                <w:p w:rsidR="001B3D5D" w:rsidRDefault="004D5502">
                  <w:pPr>
                    <w:pStyle w:val="PartiesDetails"/>
                    <w:rPr>
                      <w:b/>
                    </w:rPr>
                  </w:pPr>
                  <w:bookmarkStart w:id="21" w:name="bkSFName1"/>
                  <w:r>
                    <w:rPr>
                      <w:b/>
                    </w:rPr>
                    <w:t>Landlord</w:t>
                  </w:r>
                  <w:bookmarkEnd w:id="21"/>
                </w:p>
              </w:tc>
            </w:tr>
            <w:tr w:rsidR="001B3D5D">
              <w:tc>
                <w:tcPr>
                  <w:tcW w:w="2268" w:type="dxa"/>
                </w:tcPr>
                <w:p w:rsidR="001B3D5D" w:rsidRDefault="004D5502">
                  <w:pPr>
                    <w:pStyle w:val="PartiesDetails"/>
                    <w:rPr>
                      <w:rFonts w:ascii="Arial" w:hAnsi="Arial"/>
                      <w:sz w:val="20"/>
                    </w:rPr>
                  </w:pPr>
                  <w:r>
                    <w:rPr>
                      <w:rFonts w:ascii="Arial" w:hAnsi="Arial"/>
                      <w:sz w:val="20"/>
                    </w:rPr>
                    <w:t>Notice details</w:t>
                  </w:r>
                </w:p>
              </w:tc>
              <w:tc>
                <w:tcPr>
                  <w:tcW w:w="7088" w:type="dxa"/>
                </w:tcPr>
                <w:p w:rsidR="001B3D5D" w:rsidRDefault="004D5502">
                  <w:pPr>
                    <w:pStyle w:val="PartiesDetails"/>
                  </w:pPr>
                  <w:bookmarkStart w:id="22" w:name="bkVarParty1"/>
                  <w:r>
                    <w:t>542 Footscray Road, West Melbourne, Melbourne, Victoria 3003</w:t>
                  </w:r>
                  <w:bookmarkEnd w:id="22"/>
                </w:p>
              </w:tc>
            </w:tr>
            <w:tr w:rsidR="001B3D5D">
              <w:tc>
                <w:tcPr>
                  <w:tcW w:w="2268" w:type="dxa"/>
                </w:tcPr>
                <w:p w:rsidR="001B3D5D" w:rsidRDefault="001B3D5D">
                  <w:pPr>
                    <w:pStyle w:val="PartiesDetails"/>
                    <w:rPr>
                      <w:rFonts w:ascii="Arial" w:hAnsi="Arial"/>
                      <w:sz w:val="20"/>
                    </w:rPr>
                  </w:pPr>
                  <w:bookmarkStart w:id="23" w:name="bkNoRef1" w:colFirst="0" w:colLast="2"/>
                </w:p>
              </w:tc>
              <w:tc>
                <w:tcPr>
                  <w:tcW w:w="7088" w:type="dxa"/>
                </w:tcPr>
                <w:p w:rsidR="001B3D5D" w:rsidRDefault="004D5502">
                  <w:pPr>
                    <w:pStyle w:val="PartiesDetails"/>
                  </w:pPr>
                  <w:r>
                    <w:t>Attention: Chief Executive Officer</w:t>
                  </w:r>
                </w:p>
              </w:tc>
            </w:tr>
            <w:tr w:rsidR="001B3D5D">
              <w:tc>
                <w:tcPr>
                  <w:tcW w:w="2268" w:type="dxa"/>
                </w:tcPr>
                <w:p w:rsidR="001B3D5D" w:rsidRDefault="001B3D5D">
                  <w:pPr>
                    <w:pStyle w:val="PartiesDetails"/>
                    <w:rPr>
                      <w:rFonts w:ascii="Arial" w:hAnsi="Arial"/>
                      <w:sz w:val="20"/>
                    </w:rPr>
                  </w:pPr>
                </w:p>
              </w:tc>
              <w:tc>
                <w:tcPr>
                  <w:tcW w:w="7088" w:type="dxa"/>
                </w:tcPr>
                <w:p w:rsidR="001B3D5D" w:rsidRDefault="001B3D5D">
                  <w:pPr>
                    <w:pStyle w:val="PartiesDetails"/>
                  </w:pPr>
                </w:p>
              </w:tc>
            </w:tr>
            <w:tr w:rsidR="001B3D5D">
              <w:tc>
                <w:tcPr>
                  <w:tcW w:w="2268" w:type="dxa"/>
                </w:tcPr>
                <w:p w:rsidR="001B3D5D" w:rsidRDefault="001B3D5D">
                  <w:pPr>
                    <w:pStyle w:val="PartiesDetails"/>
                    <w:rPr>
                      <w:rFonts w:ascii="Arial" w:hAnsi="Arial"/>
                      <w:sz w:val="20"/>
                    </w:rPr>
                  </w:pPr>
                </w:p>
              </w:tc>
              <w:tc>
                <w:tcPr>
                  <w:tcW w:w="7088" w:type="dxa"/>
                </w:tcPr>
                <w:p w:rsidR="001B3D5D" w:rsidRDefault="001B3D5D">
                  <w:pPr>
                    <w:pStyle w:val="PartiesDetails"/>
                  </w:pPr>
                </w:p>
              </w:tc>
            </w:tr>
            <w:bookmarkEnd w:id="23"/>
            <w:tr w:rsidR="001B3D5D">
              <w:tc>
                <w:tcPr>
                  <w:tcW w:w="2268" w:type="dxa"/>
                </w:tcPr>
                <w:p w:rsidR="001B3D5D" w:rsidRDefault="004D5502">
                  <w:pPr>
                    <w:pStyle w:val="PartiesDetails"/>
                    <w:rPr>
                      <w:rFonts w:ascii="Arial" w:hAnsi="Arial"/>
                      <w:sz w:val="20"/>
                    </w:rPr>
                  </w:pPr>
                  <w:r>
                    <w:rPr>
                      <w:rFonts w:ascii="Arial" w:hAnsi="Arial"/>
                      <w:sz w:val="20"/>
                    </w:rPr>
                    <w:t>Name</w:t>
                  </w:r>
                </w:p>
              </w:tc>
              <w:tc>
                <w:tcPr>
                  <w:tcW w:w="7088" w:type="dxa"/>
                </w:tcPr>
                <w:p w:rsidR="001B3D5D" w:rsidRDefault="004D5502">
                  <w:pPr>
                    <w:pStyle w:val="PartiesDetails"/>
                  </w:pPr>
                  <w:r>
                    <w:rPr>
                      <w:b/>
                    </w:rPr>
                    <w:t>#tenant name#</w:t>
                  </w:r>
                </w:p>
              </w:tc>
            </w:tr>
            <w:tr w:rsidR="001B3D5D">
              <w:tc>
                <w:tcPr>
                  <w:tcW w:w="2268" w:type="dxa"/>
                </w:tcPr>
                <w:p w:rsidR="001B3D5D" w:rsidRDefault="004D5502">
                  <w:pPr>
                    <w:pStyle w:val="PartiesDetails"/>
                    <w:rPr>
                      <w:rFonts w:ascii="Arial" w:hAnsi="Arial"/>
                      <w:sz w:val="20"/>
                    </w:rPr>
                  </w:pPr>
                  <w:bookmarkStart w:id="24" w:name="bkNoABN2"/>
                  <w:r>
                    <w:rPr>
                      <w:rFonts w:ascii="Arial" w:hAnsi="Arial"/>
                      <w:sz w:val="20"/>
                    </w:rPr>
                    <w:t>ACN</w:t>
                  </w:r>
                </w:p>
              </w:tc>
              <w:tc>
                <w:tcPr>
                  <w:tcW w:w="7088" w:type="dxa"/>
                </w:tcPr>
                <w:p w:rsidR="001B3D5D" w:rsidRDefault="004D5502">
                  <w:pPr>
                    <w:pStyle w:val="PartiesDetails"/>
                  </w:pPr>
                  <w:r>
                    <w:t>#tenant ACN#</w:t>
                  </w:r>
                </w:p>
              </w:tc>
            </w:tr>
            <w:bookmarkEnd w:id="24"/>
            <w:tr w:rsidR="001B3D5D">
              <w:tc>
                <w:tcPr>
                  <w:tcW w:w="2268" w:type="dxa"/>
                </w:tcPr>
                <w:p w:rsidR="001B3D5D" w:rsidRDefault="004D5502">
                  <w:pPr>
                    <w:pStyle w:val="PartiesDetails"/>
                    <w:rPr>
                      <w:rFonts w:ascii="Arial" w:hAnsi="Arial"/>
                      <w:sz w:val="20"/>
                    </w:rPr>
                  </w:pPr>
                  <w:r>
                    <w:rPr>
                      <w:rFonts w:ascii="Arial" w:hAnsi="Arial"/>
                      <w:sz w:val="20"/>
                    </w:rPr>
                    <w:t>Short form name</w:t>
                  </w:r>
                </w:p>
              </w:tc>
              <w:tc>
                <w:tcPr>
                  <w:tcW w:w="7088" w:type="dxa"/>
                </w:tcPr>
                <w:p w:rsidR="001B3D5D" w:rsidRDefault="004D5502">
                  <w:pPr>
                    <w:pStyle w:val="PartiesDetails"/>
                    <w:rPr>
                      <w:b/>
                    </w:rPr>
                  </w:pPr>
                  <w:bookmarkStart w:id="25" w:name="bkSFName2"/>
                  <w:r>
                    <w:rPr>
                      <w:b/>
                    </w:rPr>
                    <w:t>Tenant</w:t>
                  </w:r>
                  <w:bookmarkEnd w:id="25"/>
                </w:p>
              </w:tc>
            </w:tr>
            <w:tr w:rsidR="001B3D5D">
              <w:tc>
                <w:tcPr>
                  <w:tcW w:w="2268" w:type="dxa"/>
                </w:tcPr>
                <w:p w:rsidR="001B3D5D" w:rsidRDefault="004D5502">
                  <w:pPr>
                    <w:pStyle w:val="PartiesDetails"/>
                    <w:rPr>
                      <w:rFonts w:ascii="Arial" w:hAnsi="Arial"/>
                      <w:sz w:val="20"/>
                    </w:rPr>
                  </w:pPr>
                  <w:r>
                    <w:rPr>
                      <w:rFonts w:ascii="Arial" w:hAnsi="Arial"/>
                      <w:sz w:val="20"/>
                    </w:rPr>
                    <w:t>Notice details</w:t>
                  </w:r>
                </w:p>
              </w:tc>
              <w:tc>
                <w:tcPr>
                  <w:tcW w:w="7088" w:type="dxa"/>
                </w:tcPr>
                <w:p w:rsidR="001B3D5D" w:rsidRDefault="004D5502">
                  <w:pPr>
                    <w:pStyle w:val="PartiesDetails"/>
                  </w:pPr>
                  <w:bookmarkStart w:id="26" w:name="bkVarParty2"/>
                  <w:r>
                    <w:t xml:space="preserve">#tenant address# </w:t>
                  </w:r>
                  <w:bookmarkEnd w:id="26"/>
                </w:p>
              </w:tc>
            </w:tr>
            <w:tr w:rsidR="001B3D5D">
              <w:tc>
                <w:tcPr>
                  <w:tcW w:w="2268" w:type="dxa"/>
                </w:tcPr>
                <w:p w:rsidR="001B3D5D" w:rsidRDefault="001B3D5D">
                  <w:pPr>
                    <w:pStyle w:val="PartiesDetails"/>
                    <w:rPr>
                      <w:rFonts w:ascii="Arial" w:hAnsi="Arial"/>
                      <w:sz w:val="20"/>
                    </w:rPr>
                  </w:pPr>
                  <w:bookmarkStart w:id="27" w:name="bkNoRef2" w:colFirst="0" w:colLast="2"/>
                </w:p>
              </w:tc>
              <w:tc>
                <w:tcPr>
                  <w:tcW w:w="7088" w:type="dxa"/>
                </w:tcPr>
                <w:p w:rsidR="001B3D5D" w:rsidRDefault="004D5502">
                  <w:pPr>
                    <w:pStyle w:val="PartiesDetails"/>
                  </w:pPr>
                  <w:r>
                    <w:t>Attention: #tenant execution name#</w:t>
                  </w:r>
                </w:p>
              </w:tc>
            </w:tr>
            <w:bookmarkEnd w:id="27"/>
          </w:tbl>
          <w:p w:rsidR="001B3D5D" w:rsidRDefault="001B3D5D"/>
        </w:tc>
      </w:tr>
    </w:tbl>
    <w:p w:rsidR="001B3D5D" w:rsidRDefault="001B3D5D"/>
    <w:p w:rsidR="001B3D5D" w:rsidRDefault="004D5502">
      <w:r>
        <w:br w:type="page"/>
      </w:r>
    </w:p>
    <w:tbl>
      <w:tblPr>
        <w:tblW w:w="9356" w:type="dxa"/>
        <w:tblLayout w:type="fixed"/>
        <w:tblCellMar>
          <w:left w:w="0" w:type="dxa"/>
          <w:right w:w="0" w:type="dxa"/>
        </w:tblCellMar>
        <w:tblLook w:val="0000" w:firstRow="0" w:lastRow="0" w:firstColumn="0" w:lastColumn="0" w:noHBand="0" w:noVBand="0"/>
      </w:tblPr>
      <w:tblGrid>
        <w:gridCol w:w="2268"/>
        <w:gridCol w:w="7088"/>
      </w:tblGrid>
      <w:tr w:rsidR="001B3D5D">
        <w:trPr>
          <w:cantSplit/>
        </w:trPr>
        <w:tc>
          <w:tcPr>
            <w:tcW w:w="2268" w:type="dxa"/>
          </w:tcPr>
          <w:p w:rsidR="001B3D5D" w:rsidRDefault="004D5502">
            <w:pPr>
              <w:pStyle w:val="MESubheading"/>
            </w:pPr>
            <w:r>
              <w:rPr>
                <w:rFonts w:ascii="Times New Roman" w:hAnsi="Times New Roman"/>
                <w:spacing w:val="0"/>
                <w:w w:val="100"/>
                <w:sz w:val="22"/>
                <w:szCs w:val="22"/>
              </w:rPr>
              <w:br w:type="page"/>
            </w:r>
            <w:r>
              <w:t>Items</w:t>
            </w:r>
          </w:p>
        </w:tc>
        <w:tc>
          <w:tcPr>
            <w:tcW w:w="7088" w:type="dxa"/>
          </w:tcPr>
          <w:p w:rsidR="001B3D5D" w:rsidRDefault="001B3D5D"/>
        </w:tc>
      </w:tr>
      <w:tr w:rsidR="001B3D5D">
        <w:trPr>
          <w:cantSplit/>
          <w:trHeight w:val="4027"/>
        </w:trPr>
        <w:tc>
          <w:tcPr>
            <w:tcW w:w="2268" w:type="dxa"/>
          </w:tcPr>
          <w:p w:rsidR="001B3D5D" w:rsidRDefault="001B3D5D">
            <w:pPr>
              <w:pStyle w:val="ItemL1"/>
            </w:pPr>
            <w:bookmarkStart w:id="28" w:name="_Hlt9131714"/>
            <w:bookmarkStart w:id="29" w:name="_Ref9132039"/>
            <w:bookmarkEnd w:id="28"/>
          </w:p>
        </w:tc>
        <w:tc>
          <w:tcPr>
            <w:tcW w:w="7088" w:type="dxa"/>
          </w:tcPr>
          <w:p w:rsidR="001B3D5D" w:rsidRDefault="004D5502">
            <w:pPr>
              <w:pStyle w:val="ItemL3"/>
              <w:numPr>
                <w:ilvl w:val="0"/>
                <w:numId w:val="0"/>
              </w:numPr>
              <w:ind w:left="680" w:hanging="680"/>
            </w:pPr>
            <w:bookmarkStart w:id="30" w:name="_Ref15116007"/>
            <w:bookmarkEnd w:id="29"/>
            <w:r>
              <w:rPr>
                <w:b/>
              </w:rPr>
              <w:t>Premises</w:t>
            </w:r>
            <w:r>
              <w:t xml:space="preserve"> (</w:t>
            </w:r>
            <w:r>
              <w:rPr>
                <w:b/>
              </w:rPr>
              <w:t>clause </w:t>
            </w:r>
            <w:r>
              <w:fldChar w:fldCharType="begin"/>
            </w:r>
            <w:r>
              <w:instrText xml:space="preserve"> REF _Ref15115626 \r \h  \* MERGEFORMAT </w:instrText>
            </w:r>
            <w:r>
              <w:fldChar w:fldCharType="separate"/>
            </w:r>
            <w:r>
              <w:rPr>
                <w:b/>
              </w:rPr>
              <w:t>1.1</w:t>
            </w:r>
            <w:r>
              <w:fldChar w:fldCharType="end"/>
            </w:r>
            <w:r>
              <w:t>)</w:t>
            </w:r>
            <w:bookmarkEnd w:id="30"/>
          </w:p>
          <w:p w:rsidR="001B3D5D" w:rsidRDefault="004D5502">
            <w:pPr>
              <w:keepNext/>
              <w:keepLines/>
              <w:rPr>
                <w:b/>
              </w:rPr>
            </w:pPr>
            <w:r>
              <w:t xml:space="preserve">Warehouse #premises# being part of the Warehousing </w:t>
            </w:r>
            <w:r>
              <w:rPr>
                <w:rFonts w:cs="Times New Roman"/>
              </w:rPr>
              <w:t>Complex as shown</w:t>
            </w:r>
            <w:r>
              <w:t>, for identification purposes only,</w:t>
            </w:r>
            <w:r>
              <w:rPr>
                <w:rFonts w:cs="Times New Roman"/>
              </w:rPr>
              <w:t xml:space="preserve"> on the plan in Annexure A</w:t>
            </w:r>
            <w:r>
              <w:t xml:space="preserve"> </w:t>
            </w:r>
            <w:r>
              <w:rPr>
                <w:rFonts w:cs="Times New Roman"/>
              </w:rPr>
              <w:t xml:space="preserve">(excluding the 'Staging Zone'), </w:t>
            </w:r>
            <w:r>
              <w:t>the boundaries of which are:</w:t>
            </w:r>
          </w:p>
          <w:p w:rsidR="001B3D5D" w:rsidRDefault="004D5502">
            <w:pPr>
              <w:pStyle w:val="ItemL3"/>
            </w:pPr>
            <w:r>
              <w:t>the centreline of any inter-tenancy walls and the inside finished surface of all other external walls (ignoring any false walls install</w:t>
            </w:r>
            <w:r>
              <w:t>ed by or for the Tenant) and the inside surface of any windows in them;</w:t>
            </w:r>
          </w:p>
          <w:p w:rsidR="001B3D5D" w:rsidRDefault="004D5502">
            <w:pPr>
              <w:pStyle w:val="ItemL3"/>
            </w:pPr>
            <w:r>
              <w:t xml:space="preserve">the outside finished surface of any storefront; </w:t>
            </w:r>
          </w:p>
          <w:p w:rsidR="001B3D5D" w:rsidRDefault="004D5502">
            <w:pPr>
              <w:pStyle w:val="ItemL3"/>
            </w:pPr>
            <w:r>
              <w:t>the lower surface of the upper ceiling (above any false or suspended ceiling); and</w:t>
            </w:r>
          </w:p>
          <w:p w:rsidR="001B3D5D" w:rsidRDefault="004D5502">
            <w:pPr>
              <w:pStyle w:val="ItemL3"/>
            </w:pPr>
            <w:r>
              <w:t>the median of the floor of the store.</w:t>
            </w:r>
          </w:p>
        </w:tc>
      </w:tr>
      <w:tr w:rsidR="001B3D5D">
        <w:trPr>
          <w:cantSplit/>
        </w:trPr>
        <w:tc>
          <w:tcPr>
            <w:tcW w:w="2268" w:type="dxa"/>
          </w:tcPr>
          <w:p w:rsidR="001B3D5D" w:rsidRDefault="001B3D5D">
            <w:pPr>
              <w:pStyle w:val="ItemL1"/>
            </w:pPr>
            <w:bookmarkStart w:id="31" w:name="_Hlt9131983"/>
            <w:bookmarkStart w:id="32" w:name="_Ref9131702"/>
            <w:bookmarkEnd w:id="31"/>
          </w:p>
        </w:tc>
        <w:bookmarkEnd w:id="32"/>
        <w:tc>
          <w:tcPr>
            <w:tcW w:w="7088" w:type="dxa"/>
          </w:tcPr>
          <w:p w:rsidR="001B3D5D" w:rsidRDefault="004D5502">
            <w:r>
              <w:rPr>
                <w:b/>
              </w:rPr>
              <w:t>Commencement</w:t>
            </w:r>
            <w:r>
              <w:rPr>
                <w:b/>
              </w:rPr>
              <w:t xml:space="preserve"> Date </w:t>
            </w:r>
            <w:r>
              <w:t>(</w:t>
            </w:r>
            <w:r>
              <w:rPr>
                <w:b/>
              </w:rPr>
              <w:t>clause </w:t>
            </w:r>
            <w:r>
              <w:fldChar w:fldCharType="begin"/>
            </w:r>
            <w:r>
              <w:instrText xml:space="preserve"> REF _Ref15115626 \r \h  \* MERGEFORMAT </w:instrText>
            </w:r>
            <w:r>
              <w:fldChar w:fldCharType="separate"/>
            </w:r>
            <w:r>
              <w:rPr>
                <w:b/>
              </w:rPr>
              <w:t>1.1</w:t>
            </w:r>
            <w:r>
              <w:fldChar w:fldCharType="end"/>
            </w:r>
            <w:r>
              <w:t>)</w:t>
            </w:r>
          </w:p>
          <w:p w:rsidR="001B3D5D" w:rsidRDefault="001B3D5D"/>
        </w:tc>
      </w:tr>
      <w:tr w:rsidR="001B3D5D">
        <w:trPr>
          <w:cantSplit/>
        </w:trPr>
        <w:tc>
          <w:tcPr>
            <w:tcW w:w="2268" w:type="dxa"/>
          </w:tcPr>
          <w:p w:rsidR="001B3D5D" w:rsidRDefault="001B3D5D">
            <w:pPr>
              <w:pStyle w:val="ItemL1"/>
            </w:pPr>
            <w:bookmarkStart w:id="33" w:name="_Ref9132003"/>
          </w:p>
        </w:tc>
        <w:bookmarkEnd w:id="33"/>
        <w:tc>
          <w:tcPr>
            <w:tcW w:w="7088" w:type="dxa"/>
          </w:tcPr>
          <w:p w:rsidR="001B3D5D" w:rsidRDefault="004D5502">
            <w:r>
              <w:rPr>
                <w:b/>
              </w:rPr>
              <w:t>Termination Date</w:t>
            </w:r>
            <w:r>
              <w:t xml:space="preserve"> (</w:t>
            </w:r>
            <w:r>
              <w:rPr>
                <w:b/>
              </w:rPr>
              <w:t>clause </w:t>
            </w:r>
            <w:r>
              <w:fldChar w:fldCharType="begin"/>
            </w:r>
            <w:r>
              <w:instrText xml:space="preserve"> REF _Ref15115626 \r \h  \* MERGEFORMAT </w:instrText>
            </w:r>
            <w:r>
              <w:fldChar w:fldCharType="separate"/>
            </w:r>
            <w:r>
              <w:rPr>
                <w:b/>
              </w:rPr>
              <w:t>1.1</w:t>
            </w:r>
            <w:r>
              <w:fldChar w:fldCharType="end"/>
            </w:r>
            <w:r>
              <w:t>)</w:t>
            </w:r>
          </w:p>
          <w:p w:rsidR="001B3D5D" w:rsidRDefault="001B3D5D"/>
        </w:tc>
      </w:tr>
      <w:tr w:rsidR="001B3D5D">
        <w:tc>
          <w:tcPr>
            <w:tcW w:w="2268" w:type="dxa"/>
          </w:tcPr>
          <w:p w:rsidR="001B3D5D" w:rsidRDefault="001B3D5D">
            <w:pPr>
              <w:pStyle w:val="ItemL1"/>
            </w:pPr>
            <w:bookmarkStart w:id="34" w:name="_Ref9132068"/>
          </w:p>
        </w:tc>
        <w:bookmarkEnd w:id="34"/>
        <w:tc>
          <w:tcPr>
            <w:tcW w:w="7088" w:type="dxa"/>
          </w:tcPr>
          <w:p w:rsidR="001B3D5D" w:rsidRDefault="004D5502">
            <w:r>
              <w:rPr>
                <w:b/>
              </w:rPr>
              <w:t>Term</w:t>
            </w:r>
            <w:r>
              <w:t xml:space="preserve"> (</w:t>
            </w:r>
            <w:r>
              <w:rPr>
                <w:b/>
              </w:rPr>
              <w:t>clause </w:t>
            </w:r>
            <w:r>
              <w:fldChar w:fldCharType="begin"/>
            </w:r>
            <w:r>
              <w:instrText xml:space="preserve"> REF _Ref15115626 \r \h  \* MERGEFORMAT </w:instrText>
            </w:r>
            <w:r>
              <w:fldChar w:fldCharType="separate"/>
            </w:r>
            <w:r>
              <w:rPr>
                <w:b/>
              </w:rPr>
              <w:t>1.1</w:t>
            </w:r>
            <w:r>
              <w:fldChar w:fldCharType="end"/>
            </w:r>
            <w:r>
              <w:t>)</w:t>
            </w:r>
          </w:p>
          <w:p w:rsidR="001B3D5D" w:rsidRDefault="004D5502">
            <w:pPr>
              <w:rPr>
                <w:i/>
              </w:rPr>
            </w:pPr>
            <w:r>
              <w:t xml:space="preserve">#term# years,  starting on the Commencement Date and ending on </w:t>
            </w:r>
            <w:r>
              <w:t>the Termination Date</w:t>
            </w:r>
            <w:r>
              <w:rPr>
                <w:i/>
              </w:rPr>
              <w:t xml:space="preserve"> </w:t>
            </w:r>
          </w:p>
        </w:tc>
      </w:tr>
      <w:tr w:rsidR="001B3D5D">
        <w:trPr>
          <w:cantSplit/>
        </w:trPr>
        <w:tc>
          <w:tcPr>
            <w:tcW w:w="2268" w:type="dxa"/>
          </w:tcPr>
          <w:p w:rsidR="001B3D5D" w:rsidRDefault="001B3D5D">
            <w:pPr>
              <w:pStyle w:val="ItemL1"/>
            </w:pPr>
            <w:bookmarkStart w:id="35" w:name="_Hlt9131795"/>
            <w:bookmarkStart w:id="36" w:name="_Hlt9132143"/>
            <w:bookmarkStart w:id="37" w:name="item6refshed2"/>
            <w:bookmarkStart w:id="38" w:name="_Ref9132113"/>
            <w:bookmarkEnd w:id="35"/>
            <w:bookmarkEnd w:id="36"/>
            <w:bookmarkEnd w:id="37"/>
          </w:p>
        </w:tc>
        <w:bookmarkEnd w:id="38"/>
        <w:tc>
          <w:tcPr>
            <w:tcW w:w="7088" w:type="dxa"/>
          </w:tcPr>
          <w:p w:rsidR="001B3D5D" w:rsidRDefault="004D5502">
            <w:r>
              <w:rPr>
                <w:b/>
              </w:rPr>
              <w:t>Rent</w:t>
            </w:r>
            <w:r>
              <w:t xml:space="preserve"> (</w:t>
            </w:r>
            <w:r>
              <w:rPr>
                <w:b/>
              </w:rPr>
              <w:t>clause </w:t>
            </w:r>
            <w:r>
              <w:fldChar w:fldCharType="begin"/>
            </w:r>
            <w:r>
              <w:instrText xml:space="preserve"> REF _Ref15115626 \r \h  \* MERGEFORMAT </w:instrText>
            </w:r>
            <w:r>
              <w:fldChar w:fldCharType="separate"/>
            </w:r>
            <w:r>
              <w:rPr>
                <w:b/>
              </w:rPr>
              <w:t>1.1</w:t>
            </w:r>
            <w:r>
              <w:fldChar w:fldCharType="end"/>
            </w:r>
            <w:r>
              <w:t>)</w:t>
            </w:r>
          </w:p>
          <w:p w:rsidR="001B3D5D" w:rsidRDefault="004D5502">
            <w:r>
              <w:t xml:space="preserve">$                     plus GST during the first year of the Term </w:t>
            </w:r>
          </w:p>
        </w:tc>
      </w:tr>
      <w:tr w:rsidR="001B3D5D">
        <w:trPr>
          <w:cantSplit/>
        </w:trPr>
        <w:tc>
          <w:tcPr>
            <w:tcW w:w="2268" w:type="dxa"/>
          </w:tcPr>
          <w:p w:rsidR="001B3D5D" w:rsidRDefault="001B3D5D">
            <w:pPr>
              <w:pStyle w:val="ItemL1"/>
            </w:pPr>
            <w:bookmarkStart w:id="39" w:name="_Ref315802328"/>
          </w:p>
        </w:tc>
        <w:bookmarkEnd w:id="39"/>
        <w:tc>
          <w:tcPr>
            <w:tcW w:w="7088" w:type="dxa"/>
          </w:tcPr>
          <w:p w:rsidR="001B3D5D" w:rsidRDefault="004D5502">
            <w:r>
              <w:rPr>
                <w:b/>
                <w:bCs/>
              </w:rPr>
              <w:t xml:space="preserve">CPI Review Dates </w:t>
            </w:r>
            <w:r>
              <w:t>(</w:t>
            </w:r>
            <w:r>
              <w:rPr>
                <w:b/>
              </w:rPr>
              <w:t>clause </w:t>
            </w:r>
            <w:r>
              <w:fldChar w:fldCharType="begin"/>
            </w:r>
            <w:r>
              <w:instrText xml:space="preserve"> REF _Ref15115626 \r \h  \* MERGEFORMAT </w:instrText>
            </w:r>
            <w:r>
              <w:fldChar w:fldCharType="separate"/>
            </w:r>
            <w:r>
              <w:rPr>
                <w:b/>
              </w:rPr>
              <w:t>1.1</w:t>
            </w:r>
            <w:r>
              <w:fldChar w:fldCharType="end"/>
            </w:r>
            <w:r>
              <w:t>)</w:t>
            </w:r>
          </w:p>
          <w:p w:rsidR="001B3D5D" w:rsidRDefault="004D5502">
            <w:pPr>
              <w:rPr>
                <w:b/>
              </w:rPr>
            </w:pPr>
            <w:r>
              <w:t xml:space="preserve">On each anniversary of the Commencement Date of this lease other than a Market Review Date </w:t>
            </w:r>
          </w:p>
        </w:tc>
      </w:tr>
      <w:tr w:rsidR="001B3D5D">
        <w:trPr>
          <w:cantSplit/>
        </w:trPr>
        <w:tc>
          <w:tcPr>
            <w:tcW w:w="2268" w:type="dxa"/>
          </w:tcPr>
          <w:p w:rsidR="001B3D5D" w:rsidRDefault="001B3D5D">
            <w:pPr>
              <w:pStyle w:val="ItemL1"/>
            </w:pPr>
            <w:bookmarkStart w:id="40" w:name="_Ref356892781"/>
          </w:p>
        </w:tc>
        <w:bookmarkEnd w:id="40"/>
        <w:tc>
          <w:tcPr>
            <w:tcW w:w="7088" w:type="dxa"/>
          </w:tcPr>
          <w:p w:rsidR="001B3D5D" w:rsidRDefault="004D5502">
            <w:r>
              <w:rPr>
                <w:b/>
                <w:bCs/>
              </w:rPr>
              <w:t xml:space="preserve">Market Review Dates </w:t>
            </w:r>
            <w:r>
              <w:t>(</w:t>
            </w:r>
            <w:r>
              <w:rPr>
                <w:b/>
              </w:rPr>
              <w:t>clause </w:t>
            </w:r>
            <w:r>
              <w:fldChar w:fldCharType="begin"/>
            </w:r>
            <w:r>
              <w:instrText xml:space="preserve"> REF _Ref15115626 \r \h</w:instrText>
            </w:r>
            <w:r>
              <w:instrText xml:space="preserve">  \* MERGEFORMAT </w:instrText>
            </w:r>
            <w:r>
              <w:fldChar w:fldCharType="separate"/>
            </w:r>
            <w:r>
              <w:rPr>
                <w:b/>
              </w:rPr>
              <w:t>1.1</w:t>
            </w:r>
            <w:r>
              <w:fldChar w:fldCharType="end"/>
            </w:r>
            <w:r>
              <w:t>)</w:t>
            </w:r>
          </w:p>
          <w:p w:rsidR="001B3D5D" w:rsidRDefault="004D5502">
            <w:r>
              <w:t xml:space="preserve">On </w:t>
            </w:r>
            <w:r>
              <w:t>each</w:t>
            </w:r>
            <w:r>
              <w:t xml:space="preserve"> fifth anniversary (if a</w:t>
            </w:r>
            <w:r>
              <w:t>pplicable</w:t>
            </w:r>
            <w:r>
              <w:t>) of the Commencement Date</w:t>
            </w:r>
            <w:r>
              <w:t xml:space="preserve"> of the initial term. </w:t>
            </w:r>
          </w:p>
        </w:tc>
      </w:tr>
      <w:tr w:rsidR="001B3D5D">
        <w:trPr>
          <w:cantSplit/>
        </w:trPr>
        <w:tc>
          <w:tcPr>
            <w:tcW w:w="2268" w:type="dxa"/>
          </w:tcPr>
          <w:p w:rsidR="001B3D5D" w:rsidRDefault="001B3D5D">
            <w:pPr>
              <w:pStyle w:val="ItemL1"/>
            </w:pPr>
            <w:bookmarkStart w:id="41" w:name="_Ref311705026"/>
          </w:p>
        </w:tc>
        <w:bookmarkEnd w:id="41"/>
        <w:tc>
          <w:tcPr>
            <w:tcW w:w="7088" w:type="dxa"/>
          </w:tcPr>
          <w:p w:rsidR="001B3D5D" w:rsidRDefault="004D5502">
            <w:r>
              <w:rPr>
                <w:b/>
              </w:rPr>
              <w:t xml:space="preserve">Permitted Use of the Premises </w:t>
            </w:r>
            <w:r>
              <w:t>(</w:t>
            </w:r>
            <w:r>
              <w:rPr>
                <w:b/>
              </w:rPr>
              <w:t>clause </w:t>
            </w:r>
            <w:r>
              <w:fldChar w:fldCharType="begin"/>
            </w:r>
            <w:r>
              <w:instrText xml:space="preserve"> REF _Ref15115626 \r \h  \* MERGEFORMAT </w:instrText>
            </w:r>
            <w:r>
              <w:fldChar w:fldCharType="separate"/>
            </w:r>
            <w:r>
              <w:rPr>
                <w:b/>
              </w:rPr>
              <w:t>1.1</w:t>
            </w:r>
            <w:r>
              <w:fldChar w:fldCharType="end"/>
            </w:r>
            <w:r>
              <w:t>)</w:t>
            </w:r>
          </w:p>
          <w:p w:rsidR="001B3D5D" w:rsidRDefault="004D5502">
            <w:r>
              <w:t xml:space="preserve">Storage and distribution of </w:t>
            </w:r>
          </w:p>
          <w:p w:rsidR="001B3D5D" w:rsidRDefault="004D5502">
            <w:pPr>
              <w:pStyle w:val="MELegal3"/>
            </w:pPr>
            <w:r>
              <w:t xml:space="preserve">fresh fruit and/or vegetables; and/or </w:t>
            </w:r>
          </w:p>
          <w:p w:rsidR="001B3D5D" w:rsidRDefault="004D5502">
            <w:pPr>
              <w:pStyle w:val="MELegal3"/>
            </w:pPr>
            <w:r>
              <w:t>products, which storage and distribution is related to the activities of the Me</w:t>
            </w:r>
            <w:r>
              <w:t>lbourne Wholesale Market and approved by the Landlord in writing,</w:t>
            </w:r>
          </w:p>
          <w:p w:rsidR="001B3D5D" w:rsidRDefault="004D5502">
            <w:r>
              <w:t xml:space="preserve">and/or any other use approved by the Landlord in writing. </w:t>
            </w:r>
          </w:p>
        </w:tc>
      </w:tr>
      <w:tr w:rsidR="001B3D5D">
        <w:trPr>
          <w:cantSplit/>
        </w:trPr>
        <w:tc>
          <w:tcPr>
            <w:tcW w:w="2268" w:type="dxa"/>
          </w:tcPr>
          <w:p w:rsidR="001B3D5D" w:rsidRDefault="001B3D5D">
            <w:pPr>
              <w:pStyle w:val="ItemL1"/>
            </w:pPr>
            <w:bookmarkStart w:id="42" w:name="_Ref311706847"/>
          </w:p>
        </w:tc>
        <w:bookmarkEnd w:id="42"/>
        <w:tc>
          <w:tcPr>
            <w:tcW w:w="7088" w:type="dxa"/>
          </w:tcPr>
          <w:p w:rsidR="001B3D5D" w:rsidRDefault="004D5502">
            <w:pPr>
              <w:rPr>
                <w:b/>
              </w:rPr>
            </w:pPr>
            <w:r>
              <w:rPr>
                <w:b/>
              </w:rPr>
              <w:t>Particulars of lease for option lease (clause </w:t>
            </w:r>
            <w:r>
              <w:fldChar w:fldCharType="begin"/>
            </w:r>
            <w:r>
              <w:instrText xml:space="preserve"> REF _Ref311706889 \w \h  \* MERGEFORMAT </w:instrText>
            </w:r>
            <w:r>
              <w:fldChar w:fldCharType="separate"/>
            </w:r>
            <w:r>
              <w:rPr>
                <w:b/>
              </w:rPr>
              <w:t>19</w:t>
            </w:r>
            <w:r>
              <w:fldChar w:fldCharType="end"/>
            </w:r>
            <w:r>
              <w:rPr>
                <w:b/>
              </w:rPr>
              <w:t>)</w:t>
            </w:r>
          </w:p>
          <w:p w:rsidR="001B3D5D" w:rsidRDefault="004D5502">
            <w:pPr>
              <w:rPr>
                <w:b/>
              </w:rPr>
            </w:pPr>
            <w:r>
              <w:rPr>
                <w:b/>
              </w:rPr>
              <w:t>First new lease</w:t>
            </w:r>
          </w:p>
          <w:p w:rsidR="001B3D5D" w:rsidRDefault="004D5502">
            <w:r>
              <w:rPr>
                <w:b/>
              </w:rPr>
              <w:t>Term</w:t>
            </w:r>
            <w:r>
              <w:t xml:space="preserve">: </w:t>
            </w:r>
            <w:r>
              <w:tab/>
            </w:r>
            <w:r>
              <w:tab/>
            </w:r>
            <w:r>
              <w:tab/>
            </w:r>
            <w:r>
              <w:tab/>
              <w:t>#option years# years</w:t>
            </w:r>
          </w:p>
          <w:p w:rsidR="001B3D5D" w:rsidRDefault="004D5502">
            <w:r>
              <w:rPr>
                <w:b/>
              </w:rPr>
              <w:t>Commencement Date</w:t>
            </w:r>
            <w:r>
              <w:t xml:space="preserve">: </w:t>
            </w:r>
            <w:r>
              <w:tab/>
            </w:r>
          </w:p>
          <w:p w:rsidR="001B3D5D" w:rsidRDefault="004D5502">
            <w:r>
              <w:rPr>
                <w:b/>
              </w:rPr>
              <w:t>Termination Date</w:t>
            </w:r>
            <w:r>
              <w:t xml:space="preserve">: </w:t>
            </w:r>
            <w:r>
              <w:tab/>
            </w:r>
            <w:r>
              <w:tab/>
            </w:r>
          </w:p>
          <w:p w:rsidR="001B3D5D" w:rsidRDefault="004D5502">
            <w:pPr>
              <w:ind w:left="2720" w:hanging="2720"/>
            </w:pPr>
            <w:r>
              <w:rPr>
                <w:b/>
              </w:rPr>
              <w:t>CPI Review Dates</w:t>
            </w:r>
            <w:r>
              <w:t xml:space="preserve">: </w:t>
            </w:r>
            <w:r>
              <w:tab/>
            </w:r>
            <w:r>
              <w:t>On t</w:t>
            </w:r>
            <w:r>
              <w:t xml:space="preserve">he </w:t>
            </w:r>
            <w:r>
              <w:t>Commencement Date and each anniversary of the Commencement Date other than a Market Review Date</w:t>
            </w:r>
            <w:r>
              <w:t>.</w:t>
            </w:r>
            <w:r>
              <w:t xml:space="preserve"> </w:t>
            </w:r>
          </w:p>
          <w:p w:rsidR="001B3D5D" w:rsidRDefault="004D5502">
            <w:pPr>
              <w:ind w:left="2720" w:hanging="2720"/>
            </w:pPr>
            <w:r>
              <w:rPr>
                <w:b/>
              </w:rPr>
              <w:t>Market Review Dates</w:t>
            </w:r>
            <w:r>
              <w:t xml:space="preserve">: </w:t>
            </w:r>
            <w:r>
              <w:tab/>
            </w:r>
            <w:r>
              <w:t xml:space="preserve">On each fifth anniversary (if applicable) of the Commencement Date of the initial term. </w:t>
            </w:r>
            <w:r>
              <w:t xml:space="preserve"> </w:t>
            </w:r>
          </w:p>
          <w:p w:rsidR="001B3D5D" w:rsidRDefault="001B3D5D">
            <w:pPr>
              <w:rPr>
                <w:b/>
              </w:rPr>
            </w:pPr>
          </w:p>
          <w:p w:rsidR="001B3D5D" w:rsidRDefault="004D5502">
            <w:pPr>
              <w:rPr>
                <w:b/>
              </w:rPr>
            </w:pPr>
            <w:r>
              <w:rPr>
                <w:b/>
              </w:rPr>
              <w:t>Second new lease</w:t>
            </w:r>
          </w:p>
          <w:p w:rsidR="001B3D5D" w:rsidRDefault="004D5502">
            <w:r>
              <w:rPr>
                <w:b/>
              </w:rPr>
              <w:t>Term</w:t>
            </w:r>
            <w:r>
              <w:t xml:space="preserve">: </w:t>
            </w:r>
            <w:r>
              <w:tab/>
            </w:r>
            <w:r>
              <w:tab/>
            </w:r>
            <w:r>
              <w:tab/>
            </w:r>
            <w:r>
              <w:tab/>
              <w:t>#option years# years</w:t>
            </w:r>
          </w:p>
          <w:p w:rsidR="001B3D5D" w:rsidRDefault="004D5502">
            <w:r>
              <w:rPr>
                <w:b/>
              </w:rPr>
              <w:t>Commencement Date</w:t>
            </w:r>
            <w:r>
              <w:t xml:space="preserve">: </w:t>
            </w:r>
            <w:r>
              <w:tab/>
            </w:r>
          </w:p>
          <w:p w:rsidR="001B3D5D" w:rsidRDefault="004D5502">
            <w:r>
              <w:rPr>
                <w:b/>
              </w:rPr>
              <w:t>Termination Date</w:t>
            </w:r>
            <w:r>
              <w:t xml:space="preserve">: </w:t>
            </w:r>
            <w:r>
              <w:tab/>
            </w:r>
            <w:r>
              <w:tab/>
            </w:r>
          </w:p>
          <w:p w:rsidR="001B3D5D" w:rsidRDefault="004D5502">
            <w:pPr>
              <w:ind w:left="2720" w:hanging="2720"/>
            </w:pPr>
            <w:r>
              <w:rPr>
                <w:b/>
              </w:rPr>
              <w:t>CPI Review Dates</w:t>
            </w:r>
            <w:r>
              <w:t xml:space="preserve">: </w:t>
            </w:r>
            <w:r>
              <w:tab/>
            </w:r>
            <w:r>
              <w:t xml:space="preserve">On the Commencement Date and each anniversary of the Commencement Date other than a Market Review Date. </w:t>
            </w:r>
          </w:p>
          <w:p w:rsidR="001B3D5D" w:rsidRDefault="004D5502" w:rsidP="004D5502">
            <w:pPr>
              <w:ind w:left="2720" w:hanging="2720"/>
              <w:rPr>
                <w:rFonts w:ascii="Arial" w:hAnsi="Arial"/>
              </w:rPr>
            </w:pPr>
            <w:r>
              <w:rPr>
                <w:b/>
              </w:rPr>
              <w:t>Market Review Dates</w:t>
            </w:r>
            <w:r>
              <w:t xml:space="preserve">: </w:t>
            </w:r>
            <w:r>
              <w:tab/>
            </w:r>
            <w:r>
              <w:t xml:space="preserve">On each fifth anniversary (if applicable) of the Commencement Date of the initial term. </w:t>
            </w:r>
          </w:p>
        </w:tc>
      </w:tr>
      <w:tr w:rsidR="001B3D5D">
        <w:tc>
          <w:tcPr>
            <w:tcW w:w="2268" w:type="dxa"/>
          </w:tcPr>
          <w:p w:rsidR="001B3D5D" w:rsidRDefault="004D5502">
            <w:pPr>
              <w:pStyle w:val="ItemL1"/>
            </w:pPr>
            <w:bookmarkStart w:id="43" w:name="_Ref315882461"/>
            <w:r>
              <w:t xml:space="preserve"> </w:t>
            </w:r>
            <w:bookmarkEnd w:id="43"/>
          </w:p>
          <w:p w:rsidR="001B3D5D" w:rsidRDefault="001B3D5D"/>
        </w:tc>
        <w:tc>
          <w:tcPr>
            <w:tcW w:w="7088" w:type="dxa"/>
          </w:tcPr>
          <w:p w:rsidR="001B3D5D" w:rsidRDefault="004D5502">
            <w:pPr>
              <w:rPr>
                <w:b/>
              </w:rPr>
            </w:pPr>
            <w:bookmarkStart w:id="44" w:name="_Ref339640178"/>
            <w:r>
              <w:rPr>
                <w:b/>
              </w:rPr>
              <w:t>Maximum electricity capacity for the Premises:</w:t>
            </w:r>
            <w:bookmarkEnd w:id="44"/>
            <w:r>
              <w:rPr>
                <w:b/>
              </w:rPr>
              <w:t xml:space="preserve"> </w:t>
            </w:r>
          </w:p>
          <w:p w:rsidR="001B3D5D" w:rsidRDefault="004D5502">
            <w:pPr>
              <w:rPr>
                <w:rFonts w:ascii="Arial" w:hAnsi="Arial"/>
                <w:b/>
                <w:i/>
                <w:highlight w:val="yellow"/>
              </w:rPr>
            </w:pPr>
            <w:r>
              <w:t>The maximum electricity capacity allocated to the Premises in the schedule set out in Annexure E.</w:t>
            </w:r>
          </w:p>
        </w:tc>
      </w:tr>
      <w:tr w:rsidR="001B3D5D">
        <w:tc>
          <w:tcPr>
            <w:tcW w:w="2268" w:type="dxa"/>
          </w:tcPr>
          <w:p w:rsidR="001B3D5D" w:rsidRDefault="001B3D5D">
            <w:pPr>
              <w:pStyle w:val="ItemL1"/>
            </w:pPr>
            <w:bookmarkStart w:id="45" w:name="_Ref339640270"/>
          </w:p>
        </w:tc>
        <w:bookmarkEnd w:id="45"/>
        <w:tc>
          <w:tcPr>
            <w:tcW w:w="7088" w:type="dxa"/>
          </w:tcPr>
          <w:p w:rsidR="001B3D5D" w:rsidRDefault="004D5502">
            <w:pPr>
              <w:rPr>
                <w:b/>
              </w:rPr>
            </w:pPr>
            <w:r>
              <w:rPr>
                <w:b/>
              </w:rPr>
              <w:t>Maximum load limits</w:t>
            </w:r>
          </w:p>
          <w:p w:rsidR="001B3D5D" w:rsidRDefault="004D5502">
            <w:pPr>
              <w:pStyle w:val="ItemL3"/>
            </w:pPr>
            <w:r>
              <w:t>Floor loading capacity for the ground floor of the Premises:</w:t>
            </w:r>
          </w:p>
          <w:p w:rsidR="001B3D5D" w:rsidRDefault="004D5502">
            <w:pPr>
              <w:pStyle w:val="ItemL4"/>
            </w:pPr>
            <w:r>
              <w:t xml:space="preserve">Racking post load: 5 tonnes (50 kN) point load on 150mm x 150mm footprint </w:t>
            </w:r>
          </w:p>
          <w:p w:rsidR="001B3D5D" w:rsidRDefault="004D5502">
            <w:pPr>
              <w:pStyle w:val="ItemL4"/>
            </w:pPr>
            <w:r>
              <w:t>Forklift loads (with unlimited repetitions): 5 tonnes</w:t>
            </w:r>
          </w:p>
          <w:p w:rsidR="001B3D5D" w:rsidRDefault="004D5502">
            <w:pPr>
              <w:pStyle w:val="ItemL3"/>
            </w:pPr>
            <w:r>
              <w:t>Roof structure capacity:</w:t>
            </w:r>
          </w:p>
          <w:p w:rsidR="001B3D5D" w:rsidRDefault="004D5502">
            <w:pPr>
              <w:pStyle w:val="ItemL4"/>
            </w:pPr>
            <w:r>
              <w:t xml:space="preserve">Live load: Not applicable </w:t>
            </w:r>
          </w:p>
          <w:p w:rsidR="001B3D5D" w:rsidRDefault="004D5502">
            <w:pPr>
              <w:pStyle w:val="MELegal4"/>
              <w:rPr>
                <w:rFonts w:ascii="Arial" w:hAnsi="Arial"/>
              </w:rPr>
            </w:pPr>
            <w:r>
              <w:t>(ii)</w:t>
            </w:r>
            <w:r>
              <w:tab/>
              <w:t>Super imposed dead load: 5 kg/m</w:t>
            </w:r>
            <w:r>
              <w:rPr>
                <w:vertAlign w:val="superscript"/>
              </w:rPr>
              <w:t>2</w:t>
            </w:r>
            <w:r>
              <w:t xml:space="preserve"> (Tenant Services Allowance)</w:t>
            </w:r>
          </w:p>
        </w:tc>
      </w:tr>
      <w:tr w:rsidR="001B3D5D">
        <w:tc>
          <w:tcPr>
            <w:tcW w:w="2268" w:type="dxa"/>
          </w:tcPr>
          <w:p w:rsidR="001B3D5D" w:rsidRDefault="001B3D5D">
            <w:pPr>
              <w:pStyle w:val="ItemL1"/>
            </w:pPr>
            <w:bookmarkStart w:id="46" w:name="_Ref411259337"/>
          </w:p>
        </w:tc>
        <w:bookmarkEnd w:id="46"/>
        <w:tc>
          <w:tcPr>
            <w:tcW w:w="7088" w:type="dxa"/>
          </w:tcPr>
          <w:p w:rsidR="001B3D5D" w:rsidRDefault="004D5502">
            <w:pPr>
              <w:rPr>
                <w:b/>
              </w:rPr>
            </w:pPr>
            <w:r>
              <w:rPr>
                <w:b/>
              </w:rPr>
              <w:t>License</w:t>
            </w:r>
            <w:r>
              <w:rPr>
                <w:b/>
              </w:rPr>
              <w:t>d Areas</w:t>
            </w:r>
          </w:p>
          <w:p w:rsidR="001B3D5D" w:rsidRDefault="004D5502">
            <w:pPr>
              <w:ind w:left="709" w:hanging="709"/>
              <w:rPr>
                <w:b/>
              </w:rPr>
            </w:pPr>
            <w:r>
              <w:rPr>
                <w:b/>
              </w:rPr>
              <w:t>(a)        Licensed Area 1</w:t>
            </w:r>
          </w:p>
          <w:p w:rsidR="001B3D5D" w:rsidRDefault="004D5502">
            <w:pPr>
              <w:ind w:left="709"/>
              <w:rPr>
                <w:b/>
              </w:rPr>
            </w:pPr>
            <w:r>
              <w:t>That part of the Warehousing Complex shown on the plan in Annexure A and marked 'Staging Zone' as varied from time to time under clause </w:t>
            </w:r>
            <w:r>
              <w:fldChar w:fldCharType="begin"/>
            </w:r>
            <w:r>
              <w:instrText xml:space="preserve"> REF _Ref311707678 \w \h  \* MERGEFORMAT </w:instrText>
            </w:r>
            <w:r>
              <w:fldChar w:fldCharType="separate"/>
            </w:r>
            <w:r>
              <w:t>20.5</w:t>
            </w:r>
            <w:r>
              <w:fldChar w:fldCharType="end"/>
            </w:r>
            <w:r>
              <w:t xml:space="preserve">, including all Landlord's Fixtures in, on or around that area. </w:t>
            </w:r>
          </w:p>
          <w:p w:rsidR="001B3D5D" w:rsidRDefault="004D5502">
            <w:pPr>
              <w:rPr>
                <w:b/>
              </w:rPr>
            </w:pPr>
            <w:r>
              <w:rPr>
                <w:b/>
              </w:rPr>
              <w:t>(b)</w:t>
            </w:r>
            <w:r>
              <w:rPr>
                <w:b/>
              </w:rPr>
              <w:tab/>
              <w:t>Licensed Area 2</w:t>
            </w:r>
          </w:p>
          <w:p w:rsidR="001B3D5D" w:rsidRDefault="004D5502">
            <w:pPr>
              <w:ind w:left="709"/>
            </w:pPr>
            <w:r>
              <w:lastRenderedPageBreak/>
              <w:t>That part of the Warehousing Complex shown on the plan in Annexure B and marked number #car park number#, including all Landlord's Fixtures in,</w:t>
            </w:r>
            <w:r>
              <w:t xml:space="preserve"> on or around that area.</w:t>
            </w:r>
          </w:p>
        </w:tc>
      </w:tr>
    </w:tbl>
    <w:p w:rsidR="001B3D5D" w:rsidRDefault="004D5502">
      <w:pPr>
        <w:pStyle w:val="MESubheading"/>
      </w:pPr>
      <w:r>
        <w:lastRenderedPageBreak/>
        <w:br w:type="page"/>
      </w:r>
      <w:r>
        <w:lastRenderedPageBreak/>
        <w:t xml:space="preserve">Background </w:t>
      </w:r>
    </w:p>
    <w:p w:rsidR="001B3D5D" w:rsidRDefault="004D5502">
      <w:pPr>
        <w:pStyle w:val="Level1"/>
        <w:rPr>
          <w:b/>
          <w:i/>
        </w:rPr>
      </w:pPr>
      <w:r>
        <w:t>The Head-Landlord is the owner of the Premises.</w:t>
      </w:r>
      <w:r>
        <w:rPr>
          <w:b/>
        </w:rPr>
        <w:t xml:space="preserve"> </w:t>
      </w:r>
    </w:p>
    <w:p w:rsidR="001B3D5D" w:rsidRDefault="004D5502">
      <w:pPr>
        <w:pStyle w:val="Level1"/>
      </w:pPr>
      <w:r>
        <w:t xml:space="preserve">The Landlord occupies the Premises as tenant under the Head-Lease. </w:t>
      </w:r>
    </w:p>
    <w:p w:rsidR="001B3D5D" w:rsidRDefault="004D5502">
      <w:pPr>
        <w:pStyle w:val="Level1"/>
      </w:pPr>
      <w:r>
        <w:t>The Landlord sub-leases the Premises to the Tenant on the terms contained in this lease.</w:t>
      </w:r>
    </w:p>
    <w:p w:rsidR="001B3D5D" w:rsidRDefault="004D5502">
      <w:pPr>
        <w:pStyle w:val="MEChapterheading"/>
      </w:pPr>
      <w:r>
        <w:t xml:space="preserve"> </w:t>
      </w:r>
      <w:r>
        <w:br w:type="page"/>
      </w:r>
      <w:bookmarkStart w:id="47" w:name="_Toc345578183"/>
      <w:bookmarkStart w:id="48" w:name="_Toc411870595"/>
      <w:bookmarkStart w:id="49" w:name="_Toc411870596"/>
      <w:r>
        <w:lastRenderedPageBreak/>
        <w:t xml:space="preserve">Agreed </w:t>
      </w:r>
      <w:r>
        <w:t>terms</w:t>
      </w:r>
      <w:bookmarkEnd w:id="47"/>
      <w:bookmarkEnd w:id="48"/>
      <w:bookmarkEnd w:id="49"/>
    </w:p>
    <w:p w:rsidR="001B3D5D" w:rsidRDefault="004D5502">
      <w:pPr>
        <w:pStyle w:val="MELegal1"/>
        <w:numPr>
          <w:ilvl w:val="0"/>
          <w:numId w:val="98"/>
        </w:numPr>
      </w:pPr>
      <w:bookmarkStart w:id="50" w:name="_Toc334110372"/>
      <w:bookmarkStart w:id="51" w:name="_Toc345578184"/>
      <w:bookmarkStart w:id="52" w:name="_Toc411870597"/>
      <w:r>
        <w:t>Defined terms &amp; interpretation</w:t>
      </w:r>
      <w:bookmarkEnd w:id="50"/>
      <w:bookmarkEnd w:id="51"/>
      <w:bookmarkEnd w:id="52"/>
    </w:p>
    <w:p w:rsidR="001B3D5D" w:rsidRDefault="004D5502">
      <w:pPr>
        <w:pStyle w:val="MELegal2"/>
      </w:pPr>
      <w:bookmarkStart w:id="53" w:name="_Ref15115626"/>
      <w:bookmarkStart w:id="54" w:name="_Toc334110373"/>
      <w:bookmarkStart w:id="55" w:name="_Toc345578185"/>
      <w:bookmarkStart w:id="56" w:name="_Toc411870598"/>
      <w:r>
        <w:t>Defined terms</w:t>
      </w:r>
      <w:bookmarkEnd w:id="53"/>
      <w:bookmarkEnd w:id="54"/>
      <w:bookmarkEnd w:id="55"/>
      <w:bookmarkEnd w:id="56"/>
    </w:p>
    <w:p w:rsidR="001B3D5D" w:rsidRDefault="004D5502">
      <w:pPr>
        <w:ind w:left="680"/>
      </w:pPr>
      <w:r>
        <w:t>In this lease:</w:t>
      </w:r>
    </w:p>
    <w:p w:rsidR="001B3D5D" w:rsidRDefault="004D5502">
      <w:pPr>
        <w:pStyle w:val="DefinitionL1"/>
      </w:pPr>
      <w:r>
        <w:rPr>
          <w:b/>
        </w:rPr>
        <w:t>Act</w:t>
      </w:r>
      <w:r>
        <w:t xml:space="preserve"> means the Melbourne Market Authority Act 1977 (Vic).</w:t>
      </w:r>
    </w:p>
    <w:p w:rsidR="001B3D5D" w:rsidRDefault="004D5502">
      <w:pPr>
        <w:ind w:left="680"/>
      </w:pPr>
      <w:r>
        <w:rPr>
          <w:b/>
        </w:rPr>
        <w:t>Agreement for Lease</w:t>
      </w:r>
      <w:r>
        <w:t xml:space="preserve"> means the agreement for lease between the parties in respect of the Premises pursuant to which this lease was ent</w:t>
      </w:r>
      <w:r>
        <w:t>ered into.</w:t>
      </w:r>
    </w:p>
    <w:p w:rsidR="001B3D5D" w:rsidRDefault="004D5502">
      <w:pPr>
        <w:pStyle w:val="DefinitionL1"/>
      </w:pPr>
      <w:r>
        <w:rPr>
          <w:b/>
        </w:rPr>
        <w:t>Authority</w:t>
      </w:r>
      <w:r>
        <w:t xml:space="preserve"> means any government or any governmental, semi-governmental, city, municipal, civic, administrative, fiscal, statutory or judicial body, instrumentality, department, commission, authority, tribunal, agency or other similar entity.</w:t>
      </w:r>
    </w:p>
    <w:p w:rsidR="001B3D5D" w:rsidRDefault="004D5502">
      <w:pPr>
        <w:pStyle w:val="DefinitionL1"/>
        <w:rPr>
          <w:b/>
        </w:rPr>
      </w:pPr>
      <w:r>
        <w:rPr>
          <w:b/>
        </w:rPr>
        <w:t>Bank</w:t>
      </w:r>
      <w:r>
        <w:rPr>
          <w:b/>
        </w:rPr>
        <w:t xml:space="preserve"> Guarantee</w:t>
      </w:r>
      <w:r>
        <w:t xml:space="preserve"> means an unconditional undertaking by an Australian bank to pay on demand the Security Amount with an expiry date no earlier than 6 months after the end of the Term and otherwise on terms acceptable to the Landlord, including any addition or rep</w:t>
      </w:r>
      <w:r>
        <w:t>lacement to it under clause </w:t>
      </w:r>
      <w:r>
        <w:fldChar w:fldCharType="begin"/>
      </w:r>
      <w:r>
        <w:instrText xml:space="preserve"> REF _Ref315860551 \r \h  \* MERGEFORMAT </w:instrText>
      </w:r>
      <w:r>
        <w:fldChar w:fldCharType="separate"/>
      </w:r>
      <w:r>
        <w:t>17</w:t>
      </w:r>
      <w:r>
        <w:fldChar w:fldCharType="end"/>
      </w:r>
      <w:r>
        <w:t xml:space="preserve">. </w:t>
      </w:r>
    </w:p>
    <w:p w:rsidR="001B3D5D" w:rsidRDefault="004D5502">
      <w:pPr>
        <w:pStyle w:val="DefinitionL1"/>
      </w:pPr>
      <w:r>
        <w:rPr>
          <w:b/>
        </w:rPr>
        <w:t>Business Day</w:t>
      </w:r>
      <w:r>
        <w:t xml:space="preserve"> means a day which is not a Saturday or a Sunday or a public holiday in Melbourne.</w:t>
      </w:r>
    </w:p>
    <w:p w:rsidR="001B3D5D" w:rsidRDefault="004D5502">
      <w:pPr>
        <w:pStyle w:val="DefinitionL1"/>
      </w:pPr>
      <w:r>
        <w:rPr>
          <w:b/>
        </w:rPr>
        <w:t xml:space="preserve">Claim </w:t>
      </w:r>
      <w:r>
        <w:t>includes:</w:t>
      </w:r>
    </w:p>
    <w:p w:rsidR="001B3D5D" w:rsidRDefault="004D5502">
      <w:pPr>
        <w:pStyle w:val="MELegal3"/>
      </w:pPr>
      <w:r>
        <w:t xml:space="preserve">all </w:t>
      </w:r>
      <w:r>
        <w:t>Cost, expense, liability, damage and loss;</w:t>
      </w:r>
    </w:p>
    <w:p w:rsidR="001B3D5D" w:rsidRDefault="004D5502">
      <w:pPr>
        <w:pStyle w:val="MELegal3"/>
      </w:pPr>
      <w:r>
        <w:t xml:space="preserve">actions, applications, causes of action, arbitrations, claims, demands, orders and judgments; </w:t>
      </w:r>
    </w:p>
    <w:p w:rsidR="001B3D5D" w:rsidRDefault="004D5502">
      <w:pPr>
        <w:pStyle w:val="MELegal3"/>
      </w:pPr>
      <w:r>
        <w:tab/>
        <w:t>debts, damages, penalties, payments and Costs (including legal costs calculated on an own client basis);</w:t>
      </w:r>
    </w:p>
    <w:p w:rsidR="001B3D5D" w:rsidRDefault="004D5502">
      <w:pPr>
        <w:pStyle w:val="MELegal3"/>
      </w:pPr>
      <w:r>
        <w:t>the purporte</w:t>
      </w:r>
      <w:r>
        <w:t>d rescission or termination of this lease; and</w:t>
      </w:r>
    </w:p>
    <w:p w:rsidR="001B3D5D" w:rsidRDefault="004D5502">
      <w:pPr>
        <w:pStyle w:val="MELegal3"/>
      </w:pPr>
      <w:r>
        <w:t>an adjustment to money due to the Landlord under this lease.</w:t>
      </w:r>
    </w:p>
    <w:p w:rsidR="001B3D5D" w:rsidRDefault="004D5502">
      <w:pPr>
        <w:pStyle w:val="DefinitionL1"/>
      </w:pPr>
      <w:r>
        <w:rPr>
          <w:b/>
        </w:rPr>
        <w:t>Commencement Date</w:t>
      </w:r>
      <w:r>
        <w:t xml:space="preserve"> means the date stated in </w:t>
      </w:r>
      <w:r>
        <w:fldChar w:fldCharType="begin"/>
      </w:r>
      <w:r>
        <w:instrText xml:space="preserve"> REF _Ref9131702 \r \h  \* MERGEFORMAT </w:instrText>
      </w:r>
      <w:r>
        <w:fldChar w:fldCharType="separate"/>
      </w:r>
      <w:r>
        <w:t xml:space="preserve">Item 2 </w:t>
      </w:r>
      <w:r>
        <w:fldChar w:fldCharType="end"/>
      </w:r>
      <w:r>
        <w:t>.</w:t>
      </w:r>
    </w:p>
    <w:p w:rsidR="001B3D5D" w:rsidRDefault="004D5502">
      <w:pPr>
        <w:pStyle w:val="DefinitionL1"/>
      </w:pPr>
      <w:r>
        <w:rPr>
          <w:b/>
        </w:rPr>
        <w:t xml:space="preserve">Commitment Deed </w:t>
      </w:r>
      <w:r>
        <w:t>means a deed poll granted by the Tenant in favour of the Head-Landlord and the Landlord recording the Tenant's commitment to enter into the Agreement for Lease and this lease.</w:t>
      </w:r>
    </w:p>
    <w:p w:rsidR="001B3D5D" w:rsidRDefault="004D5502">
      <w:pPr>
        <w:pStyle w:val="DefinitionL1"/>
      </w:pPr>
      <w:r>
        <w:rPr>
          <w:b/>
        </w:rPr>
        <w:t xml:space="preserve">Common Area </w:t>
      </w:r>
      <w:r>
        <w:t>means those areas of the Warehouse Land provided by the Landlord from time to time for the common use of occupants of the Warehouse Land and includes without limitation the kitchen areas, toilets, stairways, areas designated by the Landlord for</w:t>
      </w:r>
      <w:r>
        <w:t xml:space="preserve"> parking of cars, trucks and other vehicles and loading and unloading vehicles, driveways, access and egress roads, and other common amenities other than those reserved to the Landlord or to any person claiming through or authorised by the Landlord.</w:t>
      </w:r>
    </w:p>
    <w:p w:rsidR="001B3D5D" w:rsidRDefault="004D5502">
      <w:pPr>
        <w:pStyle w:val="DefinitionL1"/>
      </w:pPr>
      <w:r>
        <w:rPr>
          <w:b/>
        </w:rPr>
        <w:t>Costs</w:t>
      </w:r>
      <w:r>
        <w:t xml:space="preserve"> </w:t>
      </w:r>
      <w:r>
        <w:t>includes fees, expenses and legal costs calculated on a solicitor and own client basis.</w:t>
      </w:r>
    </w:p>
    <w:p w:rsidR="001B3D5D" w:rsidRDefault="004D5502">
      <w:pPr>
        <w:pStyle w:val="DefinitionL1"/>
      </w:pPr>
      <w:r>
        <w:rPr>
          <w:b/>
        </w:rPr>
        <w:t>CPI</w:t>
      </w:r>
      <w:r>
        <w:t xml:space="preserve"> means the consumer price index published by the Australian Bureau of Statistics under the heading 'All Groups - Eight Capital Cities', or if the Australian Bureau o</w:t>
      </w:r>
      <w:r>
        <w:t>f Statistics stops publishing the CPI, then CPI means the index recommended by the Property Council of Australia Limited as the index that most appropriately replaces the CPI.</w:t>
      </w:r>
    </w:p>
    <w:p w:rsidR="001B3D5D" w:rsidRDefault="004D5502">
      <w:pPr>
        <w:pStyle w:val="DefinitionL1"/>
      </w:pPr>
      <w:r>
        <w:rPr>
          <w:b/>
        </w:rPr>
        <w:lastRenderedPageBreak/>
        <w:t xml:space="preserve">CPI Rate </w:t>
      </w:r>
      <w:r>
        <w:t>means the change in the CPI, measured from the CPI for the quarter endi</w:t>
      </w:r>
      <w:r>
        <w:t>ng immediately before the last date on which the Rent was reviewed (or the Commencement Date if there has been no intervening rent review) to the CPI for the quarter ending immediately before the relevant CPI Review Date, expressed as a percentage.</w:t>
      </w:r>
    </w:p>
    <w:p w:rsidR="001B3D5D" w:rsidRDefault="004D5502">
      <w:pPr>
        <w:pStyle w:val="DefinitionL1"/>
      </w:pPr>
      <w:r>
        <w:rPr>
          <w:b/>
        </w:rPr>
        <w:t>CPI Rev</w:t>
      </w:r>
      <w:r>
        <w:rPr>
          <w:b/>
        </w:rPr>
        <w:t>iew Date</w:t>
      </w:r>
      <w:r>
        <w:t xml:space="preserve"> means each date specified in </w:t>
      </w:r>
      <w:r>
        <w:fldChar w:fldCharType="begin"/>
      </w:r>
      <w:r>
        <w:instrText xml:space="preserve"> REF _Ref315802328 \r \h  \* MERGEFORMAT </w:instrText>
      </w:r>
      <w:r>
        <w:fldChar w:fldCharType="separate"/>
      </w:r>
      <w:r>
        <w:t xml:space="preserve">Item 6 </w:t>
      </w:r>
      <w:r>
        <w:fldChar w:fldCharType="end"/>
      </w:r>
      <w:r>
        <w:t>.</w:t>
      </w:r>
    </w:p>
    <w:p w:rsidR="001B3D5D" w:rsidRDefault="004D5502">
      <w:pPr>
        <w:ind w:left="680"/>
      </w:pPr>
      <w:r>
        <w:rPr>
          <w:b/>
        </w:rPr>
        <w:t>Deed Poll</w:t>
      </w:r>
      <w:r>
        <w:t xml:space="preserve"> means a deed poll from the Head-Landlord in favour of the Tenant in relation to this lease</w:t>
      </w:r>
      <w:r>
        <w:t>.</w:t>
      </w:r>
    </w:p>
    <w:p w:rsidR="001B3D5D" w:rsidRDefault="004D5502">
      <w:pPr>
        <w:pStyle w:val="DefinitionL1"/>
      </w:pPr>
      <w:r>
        <w:rPr>
          <w:b/>
        </w:rPr>
        <w:t>Deposit</w:t>
      </w:r>
      <w:r>
        <w:t xml:space="preserve"> has the meaning given to the term in the Agreement for Lease.</w:t>
      </w:r>
    </w:p>
    <w:p w:rsidR="001B3D5D" w:rsidRDefault="004D5502">
      <w:pPr>
        <w:pStyle w:val="DefinitionL1"/>
      </w:pPr>
      <w:r>
        <w:rPr>
          <w:b/>
        </w:rPr>
        <w:t xml:space="preserve">Environmental Management Plan </w:t>
      </w:r>
      <w:r>
        <w:t xml:space="preserve">means the Landlord's environmental management plan, if any, for the Warehouse Land, to the extent that a copy has been made available to the Tenant. </w:t>
      </w:r>
    </w:p>
    <w:p w:rsidR="001B3D5D" w:rsidRDefault="004D5502">
      <w:pPr>
        <w:pStyle w:val="DefinitionL1"/>
      </w:pPr>
      <w:r>
        <w:rPr>
          <w:b/>
        </w:rPr>
        <w:t>Essential Safety Measure</w:t>
      </w:r>
      <w:r>
        <w:t xml:space="preserve"> has the meaning given in the </w:t>
      </w:r>
      <w:r>
        <w:rPr>
          <w:i/>
        </w:rPr>
        <w:t xml:space="preserve">Building Regulations 2006 </w:t>
      </w:r>
      <w:r>
        <w:t>(Vic).</w:t>
      </w:r>
    </w:p>
    <w:p w:rsidR="001B3D5D" w:rsidRDefault="004D5502">
      <w:pPr>
        <w:pStyle w:val="DefinitionL1"/>
      </w:pPr>
      <w:r>
        <w:rPr>
          <w:b/>
        </w:rPr>
        <w:t>GST</w:t>
      </w:r>
      <w:r>
        <w:t xml:space="preserve"> means GST within the meaning of the GST Act.</w:t>
      </w:r>
    </w:p>
    <w:p w:rsidR="001B3D5D" w:rsidRDefault="004D5502">
      <w:pPr>
        <w:pStyle w:val="DefinitionL1"/>
      </w:pPr>
      <w:r>
        <w:rPr>
          <w:b/>
        </w:rPr>
        <w:t>GST Act</w:t>
      </w:r>
      <w:r>
        <w:t xml:space="preserve"> means a New Tax System (Goods and Services Tax) Act 1999 (Cth).</w:t>
      </w:r>
    </w:p>
    <w:p w:rsidR="001B3D5D" w:rsidRDefault="004D5502">
      <w:pPr>
        <w:pStyle w:val="DefinitionL1"/>
      </w:pPr>
      <w:r>
        <w:rPr>
          <w:b/>
        </w:rPr>
        <w:t xml:space="preserve">Head-Landlord </w:t>
      </w:r>
      <w:r>
        <w:t>means the Secretary to the Departm</w:t>
      </w:r>
      <w:r>
        <w:t xml:space="preserve">ent of Economic Development, Jobs, Transport and Resources, and includes any successors and assigns. </w:t>
      </w:r>
    </w:p>
    <w:p w:rsidR="001B3D5D" w:rsidRDefault="004D5502">
      <w:pPr>
        <w:pStyle w:val="DefinitionL1"/>
      </w:pPr>
      <w:r>
        <w:rPr>
          <w:b/>
        </w:rPr>
        <w:t>Head-Lease</w:t>
      </w:r>
      <w:r>
        <w:t xml:space="preserve"> means the lease </w:t>
      </w:r>
      <w:r>
        <w:t>dated</w:t>
      </w:r>
      <w:r>
        <w:t xml:space="preserve"> 30 December 2014</w:t>
      </w:r>
      <w:r>
        <w:rPr>
          <w:b/>
        </w:rPr>
        <w:t xml:space="preserve"> </w:t>
      </w:r>
      <w:r>
        <w:t>between the Head-Landlord as landlord and the Landlord as tenant in respect of Warehouse Land and incl</w:t>
      </w:r>
      <w:r>
        <w:t xml:space="preserve">udes any further lease or proprietary interest in the Warehouse Land granted by the Head-Landlord to the Landlord. </w:t>
      </w:r>
    </w:p>
    <w:p w:rsidR="001B3D5D" w:rsidRDefault="004D5502">
      <w:pPr>
        <w:pStyle w:val="DefinitionL1"/>
      </w:pPr>
      <w:r>
        <w:rPr>
          <w:b/>
        </w:rPr>
        <w:t>Information table</w:t>
      </w:r>
      <w:r>
        <w:t xml:space="preserve"> means the part of this document described as the Information table.</w:t>
      </w:r>
    </w:p>
    <w:p w:rsidR="001B3D5D" w:rsidRDefault="004D5502">
      <w:pPr>
        <w:pStyle w:val="DefinitionL1"/>
      </w:pPr>
      <w:r>
        <w:rPr>
          <w:b/>
        </w:rPr>
        <w:t xml:space="preserve">Insolvency Event </w:t>
      </w:r>
      <w:r>
        <w:t>means when the Tenant:</w:t>
      </w:r>
    </w:p>
    <w:p w:rsidR="001B3D5D" w:rsidRDefault="004D5502">
      <w:pPr>
        <w:pStyle w:val="DefinitionL2"/>
      </w:pPr>
      <w:r>
        <w:t>is insolvent w</w:t>
      </w:r>
      <w:r>
        <w:t xml:space="preserve">ithin the meaning of section 95A of the </w:t>
      </w:r>
      <w:r>
        <w:rPr>
          <w:i/>
        </w:rPr>
        <w:t>Corporations Act 2001</w:t>
      </w:r>
      <w:r>
        <w:t xml:space="preserve"> (Cth);</w:t>
      </w:r>
    </w:p>
    <w:p w:rsidR="001B3D5D" w:rsidRDefault="004D5502">
      <w:pPr>
        <w:pStyle w:val="DefinitionL2"/>
      </w:pPr>
      <w:r>
        <w:t xml:space="preserve">is presumed by a court to be insolvent by reason of section 459C(2) of the </w:t>
      </w:r>
      <w:r>
        <w:rPr>
          <w:i/>
        </w:rPr>
        <w:t>Corporations Act 2001</w:t>
      </w:r>
      <w:r>
        <w:t xml:space="preserve"> (Cth);</w:t>
      </w:r>
    </w:p>
    <w:p w:rsidR="001B3D5D" w:rsidRDefault="004D5502">
      <w:pPr>
        <w:pStyle w:val="DefinitionL2"/>
      </w:pPr>
      <w:r>
        <w:t>has a liquidator or provisional liquidator appointed in respect of it;</w:t>
      </w:r>
    </w:p>
    <w:p w:rsidR="001B3D5D" w:rsidRDefault="004D5502">
      <w:pPr>
        <w:pStyle w:val="DefinitionL2"/>
      </w:pPr>
      <w:r>
        <w:tab/>
        <w:t>has an admi</w:t>
      </w:r>
      <w:r>
        <w:t>nistrator appointed over all or substantially all of its assets or undertaking (and whose appointment is not withdrawn within five Business Days);</w:t>
      </w:r>
    </w:p>
    <w:p w:rsidR="001B3D5D" w:rsidRDefault="004D5502">
      <w:pPr>
        <w:pStyle w:val="DefinitionL2"/>
      </w:pPr>
      <w:r>
        <w:t xml:space="preserve">has a receiver, receiver and manager or other controller within the meaning of section 9 of the </w:t>
      </w:r>
      <w:r>
        <w:rPr>
          <w:i/>
        </w:rPr>
        <w:t xml:space="preserve">Corporations </w:t>
      </w:r>
      <w:r>
        <w:rPr>
          <w:i/>
        </w:rPr>
        <w:t>Act 2001</w:t>
      </w:r>
      <w:r>
        <w:t xml:space="preserve"> (Cth) or similar officer appointed to all or substantially all of its assets or undertaking (and whose appointment is not withdrawn within five Business Days);</w:t>
      </w:r>
    </w:p>
    <w:p w:rsidR="001B3D5D" w:rsidRDefault="004D5502">
      <w:pPr>
        <w:pStyle w:val="DefinitionL2"/>
      </w:pPr>
      <w:r>
        <w:t xml:space="preserve">except to reconstruct or amalgamate while solvent, has an application or order made, a </w:t>
      </w:r>
      <w:r>
        <w:t xml:space="preserve">resolution passed, an application to a court made or other steps taken against or in respect of it (other than frivolous or vexatious applications or steps or an application withdrawn or dismissed within 20 Business Days) for its winding up or dissolution </w:t>
      </w:r>
      <w:r>
        <w:t>or for it to enter an arrangement, compromise or composition with or assignment for the benefit of its creditors, a class of them or any of them; or</w:t>
      </w:r>
    </w:p>
    <w:p w:rsidR="001B3D5D" w:rsidRDefault="004D5502">
      <w:pPr>
        <w:pStyle w:val="DefinitionL2"/>
        <w:rPr>
          <w:bCs/>
        </w:rPr>
      </w:pPr>
      <w:r>
        <w:t>admits in writing that it is, or is declared to be, insolvent or unable to pay all of its debts when they b</w:t>
      </w:r>
      <w:r>
        <w:t>ecome due and payable.</w:t>
      </w:r>
    </w:p>
    <w:p w:rsidR="001B3D5D" w:rsidRDefault="004D5502">
      <w:pPr>
        <w:pStyle w:val="DefinitionL1"/>
        <w:rPr>
          <w:bCs/>
        </w:rPr>
      </w:pPr>
      <w:r>
        <w:rPr>
          <w:b/>
        </w:rPr>
        <w:t>Insurance Bond</w:t>
      </w:r>
      <w:r>
        <w:rPr>
          <w:bCs/>
        </w:rPr>
        <w:t xml:space="preserve"> means </w:t>
      </w:r>
      <w:r>
        <w:t xml:space="preserve">an irrevocable and unconditional undertaking by an insurance company conducting business in </w:t>
      </w:r>
      <w:smartTag w:uri="urn:schemas-microsoft-com:office:smarttags" w:element="City">
        <w:r>
          <w:t>Melbourne</w:t>
        </w:r>
      </w:smartTag>
      <w:r>
        <w:t xml:space="preserve">, Australia to pay on demand the Security Amount with an expiry date no earlier than 6 months after the end of </w:t>
      </w:r>
      <w:r>
        <w:t>the Term on otherwise on terms acceptable to the Landlord, including any addition or replacement to it under clause </w:t>
      </w:r>
      <w:r>
        <w:fldChar w:fldCharType="begin"/>
      </w:r>
      <w:r>
        <w:instrText xml:space="preserve"> REF _Ref315860551 \r \h  \* MERGEFORMAT </w:instrText>
      </w:r>
      <w:r>
        <w:fldChar w:fldCharType="separate"/>
      </w:r>
      <w:r>
        <w:t>17</w:t>
      </w:r>
      <w:r>
        <w:fldChar w:fldCharType="end"/>
      </w:r>
      <w:r>
        <w:t>.</w:t>
      </w:r>
    </w:p>
    <w:p w:rsidR="001B3D5D" w:rsidRDefault="004D5502">
      <w:pPr>
        <w:pStyle w:val="DefinitionL1"/>
      </w:pPr>
      <w:r>
        <w:rPr>
          <w:b/>
        </w:rPr>
        <w:lastRenderedPageBreak/>
        <w:t>Item</w:t>
      </w:r>
      <w:r>
        <w:t xml:space="preserve"> means an item appearing</w:t>
      </w:r>
      <w:r>
        <w:t xml:space="preserve"> in the Information table.</w:t>
      </w:r>
    </w:p>
    <w:p w:rsidR="001B3D5D" w:rsidRDefault="004D5502">
      <w:pPr>
        <w:pStyle w:val="DefinitionL1"/>
      </w:pPr>
      <w:r>
        <w:rPr>
          <w:b/>
        </w:rPr>
        <w:t>Landlord</w:t>
      </w:r>
      <w:r>
        <w:t xml:space="preserve"> includes the Landlord's successors and assigns or, if the Landlord is a natural person, the Landlord's executors administrators and assigns and in either case the Landlord's Employees as the context permits.</w:t>
      </w:r>
    </w:p>
    <w:p w:rsidR="001B3D5D" w:rsidRDefault="004D5502">
      <w:pPr>
        <w:pStyle w:val="DefinitionL1"/>
      </w:pPr>
      <w:r>
        <w:rPr>
          <w:b/>
        </w:rPr>
        <w:t>Landlord's A</w:t>
      </w:r>
      <w:r>
        <w:rPr>
          <w:b/>
        </w:rPr>
        <w:t xml:space="preserve">gent </w:t>
      </w:r>
      <w:r>
        <w:t>includes each of:</w:t>
      </w:r>
    </w:p>
    <w:p w:rsidR="001B3D5D" w:rsidRDefault="004D5502">
      <w:pPr>
        <w:pStyle w:val="DefinitionL2"/>
      </w:pPr>
      <w:r>
        <w:t>the State; and</w:t>
      </w:r>
    </w:p>
    <w:p w:rsidR="001B3D5D" w:rsidRDefault="004D5502">
      <w:pPr>
        <w:pStyle w:val="DefinitionL2"/>
      </w:pPr>
      <w:r>
        <w:t xml:space="preserve">the Landlord's Employees. </w:t>
      </w:r>
    </w:p>
    <w:p w:rsidR="001B3D5D" w:rsidRDefault="004D5502">
      <w:pPr>
        <w:pStyle w:val="DefinitionL1"/>
        <w:rPr>
          <w:b/>
          <w:i/>
        </w:rPr>
      </w:pPr>
      <w:r>
        <w:rPr>
          <w:b/>
        </w:rPr>
        <w:t xml:space="preserve">Landlord's Employees </w:t>
      </w:r>
      <w:r>
        <w:t>includes the Landlord's employees, agents, consultants or contractors, or invitees, but excludes the Tenant and the Tenant's Agents.</w:t>
      </w:r>
    </w:p>
    <w:p w:rsidR="001B3D5D" w:rsidRDefault="004D5502">
      <w:pPr>
        <w:pStyle w:val="DefinitionL1"/>
      </w:pPr>
      <w:r>
        <w:rPr>
          <w:b/>
        </w:rPr>
        <w:t>Landlord's Fixtures</w:t>
      </w:r>
      <w:r>
        <w:t xml:space="preserve"> means those items</w:t>
      </w:r>
      <w:r>
        <w:t xml:space="preserve"> set out in Schedule 1, located in the Premises at the Commencement Date or from time to time supplied by the Landlord.</w:t>
      </w:r>
    </w:p>
    <w:p w:rsidR="001B3D5D" w:rsidRDefault="004D5502">
      <w:pPr>
        <w:pStyle w:val="DefinitionL1"/>
      </w:pPr>
      <w:r>
        <w:rPr>
          <w:b/>
        </w:rPr>
        <w:t xml:space="preserve">Landlord's Maintenance Items </w:t>
      </w:r>
      <w:r>
        <w:t>means the items set out in Schedule 3.</w:t>
      </w:r>
    </w:p>
    <w:p w:rsidR="001B3D5D" w:rsidRDefault="004D5502">
      <w:pPr>
        <w:pStyle w:val="DefinitionL1"/>
      </w:pPr>
      <w:r>
        <w:rPr>
          <w:b/>
        </w:rPr>
        <w:t>Law</w:t>
      </w:r>
      <w:r>
        <w:t xml:space="preserve"> means any statute, regulation, proclamation, ordinance or by</w:t>
      </w:r>
      <w:r>
        <w:noBreakHyphen/>
        <w:t>law</w:t>
      </w:r>
      <w:r>
        <w:t xml:space="preserve"> of the Commonwealth of Australia or the State and includes all statutes, regulations, proclamations, ordinances or by</w:t>
      </w:r>
      <w:r>
        <w:noBreakHyphen/>
        <w:t>laws varying consolidating or replacing them and all regulations, proclamations, ordinances and by</w:t>
      </w:r>
      <w:r>
        <w:noBreakHyphen/>
        <w:t>laws issued under that statute.</w:t>
      </w:r>
    </w:p>
    <w:p w:rsidR="001B3D5D" w:rsidRDefault="004D5502">
      <w:pPr>
        <w:pStyle w:val="DefinitionL1"/>
      </w:pPr>
      <w:r>
        <w:rPr>
          <w:b/>
        </w:rPr>
        <w:t>Licens</w:t>
      </w:r>
      <w:r>
        <w:rPr>
          <w:b/>
        </w:rPr>
        <w:t>ed Area 1</w:t>
      </w:r>
      <w:r>
        <w:t xml:space="preserve"> has the meaning given in </w:t>
      </w:r>
      <w:r>
        <w:fldChar w:fldCharType="begin"/>
      </w:r>
      <w:r>
        <w:instrText xml:space="preserve"> REF _Ref411259337 \r \h </w:instrText>
      </w:r>
      <w:r>
        <w:fldChar w:fldCharType="separate"/>
      </w:r>
      <w:r>
        <w:t xml:space="preserve">Item 12 </w:t>
      </w:r>
      <w:r>
        <w:fldChar w:fldCharType="end"/>
      </w:r>
      <w:r>
        <w:t>.</w:t>
      </w:r>
    </w:p>
    <w:p w:rsidR="001B3D5D" w:rsidRDefault="004D5502">
      <w:pPr>
        <w:pStyle w:val="DefinitionL1"/>
      </w:pPr>
      <w:r>
        <w:rPr>
          <w:b/>
        </w:rPr>
        <w:t>Licensed Area 2</w:t>
      </w:r>
      <w:r>
        <w:t xml:space="preserve"> has the meaning given in </w:t>
      </w:r>
      <w:r>
        <w:fldChar w:fldCharType="begin"/>
      </w:r>
      <w:r>
        <w:instrText xml:space="preserve"> REF _Ref411259337 \r \h </w:instrText>
      </w:r>
      <w:r>
        <w:fldChar w:fldCharType="separate"/>
      </w:r>
      <w:r>
        <w:t xml:space="preserve">Item 12 </w:t>
      </w:r>
      <w:r>
        <w:fldChar w:fldCharType="end"/>
      </w:r>
      <w:r>
        <w:t>.</w:t>
      </w:r>
    </w:p>
    <w:p w:rsidR="001B3D5D" w:rsidRDefault="004D5502">
      <w:pPr>
        <w:pStyle w:val="DefinitionL1"/>
      </w:pPr>
      <w:r>
        <w:rPr>
          <w:b/>
        </w:rPr>
        <w:t xml:space="preserve">Licensed Areas </w:t>
      </w:r>
      <w:r>
        <w:t xml:space="preserve">means Licensed Area 1 and Licensed Area 2. </w:t>
      </w:r>
    </w:p>
    <w:p w:rsidR="001B3D5D" w:rsidRDefault="004D5502">
      <w:pPr>
        <w:pStyle w:val="DefinitionL1"/>
      </w:pPr>
      <w:r>
        <w:rPr>
          <w:b/>
        </w:rPr>
        <w:t>Market Land</w:t>
      </w:r>
      <w:r>
        <w:t xml:space="preserve"> means the land coloured red</w:t>
      </w:r>
      <w:r>
        <w:t xml:space="preserve"> and green</w:t>
      </w:r>
      <w:r>
        <w:t xml:space="preserve"> and shown on the plan in Annexure D</w:t>
      </w:r>
      <w:r>
        <w:t xml:space="preserve"> which includes the Warehouse Land</w:t>
      </w:r>
      <w:r>
        <w:t>.</w:t>
      </w:r>
    </w:p>
    <w:p w:rsidR="001B3D5D" w:rsidRDefault="004D5502">
      <w:pPr>
        <w:pStyle w:val="DefinitionL1"/>
      </w:pPr>
      <w:r>
        <w:rPr>
          <w:b/>
        </w:rPr>
        <w:t xml:space="preserve">Market Review Dates </w:t>
      </w:r>
      <w:r>
        <w:t xml:space="preserve">means each date specified in </w:t>
      </w:r>
      <w:r>
        <w:fldChar w:fldCharType="begin"/>
      </w:r>
      <w:r>
        <w:instrText xml:space="preserve"> REF _Ref356892781 \r \h </w:instrText>
      </w:r>
      <w:r>
        <w:fldChar w:fldCharType="separate"/>
      </w:r>
      <w:r>
        <w:t xml:space="preserve">Item 7 </w:t>
      </w:r>
      <w:r>
        <w:fldChar w:fldCharType="end"/>
      </w:r>
      <w:r>
        <w:t>.</w:t>
      </w:r>
    </w:p>
    <w:p w:rsidR="001B3D5D" w:rsidRDefault="004D5502">
      <w:pPr>
        <w:pStyle w:val="DefinitionL1"/>
      </w:pPr>
      <w:r>
        <w:rPr>
          <w:b/>
        </w:rPr>
        <w:t>OH&amp;S Plan</w:t>
      </w:r>
      <w:r>
        <w:t xml:space="preserve"> means the Landlord's occupational health and safety plan, if any, for the Market Land, to the extent that a copy has been made available to the </w:t>
      </w:r>
      <w:r>
        <w:t>Tenant.</w:t>
      </w:r>
    </w:p>
    <w:p w:rsidR="001B3D5D" w:rsidRDefault="004D5502">
      <w:pPr>
        <w:pStyle w:val="DefinitionL1"/>
      </w:pPr>
      <w:r>
        <w:rPr>
          <w:b/>
        </w:rPr>
        <w:t>Operating Rules</w:t>
      </w:r>
      <w:r>
        <w:t xml:space="preserve"> means any rules, guidelines or policies issued by the Landlord in respect of the Market Land </w:t>
      </w:r>
      <w:r>
        <w:t>from time to time, to the extent that they have been made available to the Tenant.</w:t>
      </w:r>
    </w:p>
    <w:p w:rsidR="001B3D5D" w:rsidRDefault="004D5502">
      <w:pPr>
        <w:pStyle w:val="DefinitionL1"/>
      </w:pPr>
      <w:r>
        <w:rPr>
          <w:b/>
        </w:rPr>
        <w:t>Permitted Use</w:t>
      </w:r>
      <w:r>
        <w:t xml:space="preserve"> means the use in </w:t>
      </w:r>
      <w:r>
        <w:fldChar w:fldCharType="begin"/>
      </w:r>
      <w:r>
        <w:instrText xml:space="preserve"> REF _Ref311705026 \w \h  \* MERGEFORMAT </w:instrText>
      </w:r>
      <w:r>
        <w:fldChar w:fldCharType="separate"/>
      </w:r>
      <w:r>
        <w:t xml:space="preserve">Item 8 </w:t>
      </w:r>
      <w:r>
        <w:fldChar w:fldCharType="end"/>
      </w:r>
      <w:r>
        <w:t>.</w:t>
      </w:r>
    </w:p>
    <w:p w:rsidR="001B3D5D" w:rsidRDefault="004D5502">
      <w:pPr>
        <w:ind w:left="709"/>
      </w:pPr>
      <w:r>
        <w:rPr>
          <w:b/>
        </w:rPr>
        <w:t xml:space="preserve">Planned Maintenance Program </w:t>
      </w:r>
      <w:r>
        <w:t>means the Landlord's proper program for planned maintenance of the Premises, the Services and the Landlord's pla</w:t>
      </w:r>
      <w:r>
        <w:t>nt and equipment, as may be amended from time to time.</w:t>
      </w:r>
    </w:p>
    <w:p w:rsidR="001B3D5D" w:rsidRDefault="004D5502">
      <w:pPr>
        <w:pStyle w:val="DefinitionL1"/>
      </w:pPr>
      <w:r>
        <w:rPr>
          <w:b/>
        </w:rPr>
        <w:t xml:space="preserve">Planning Scheme </w:t>
      </w:r>
      <w:r>
        <w:t xml:space="preserve">means any planning scheme under the </w:t>
      </w:r>
      <w:r>
        <w:rPr>
          <w:i/>
        </w:rPr>
        <w:t xml:space="preserve">Planning and Environment Act 1987 </w:t>
      </w:r>
      <w:r>
        <w:t xml:space="preserve">(Vic) applicable to all or any part of the Warehouse Land. </w:t>
      </w:r>
    </w:p>
    <w:p w:rsidR="001B3D5D" w:rsidRDefault="004D5502">
      <w:pPr>
        <w:pStyle w:val="DefinitionL1"/>
      </w:pPr>
      <w:r>
        <w:rPr>
          <w:b/>
        </w:rPr>
        <w:t xml:space="preserve">PPSA </w:t>
      </w:r>
      <w:r>
        <w:t>means the Personal Property Securities Act 2009 (C</w:t>
      </w:r>
      <w:r>
        <w:t xml:space="preserve">th). </w:t>
      </w:r>
    </w:p>
    <w:p w:rsidR="001B3D5D" w:rsidRDefault="004D5502">
      <w:pPr>
        <w:pStyle w:val="DefinitionL1"/>
      </w:pPr>
      <w:r>
        <w:rPr>
          <w:b/>
        </w:rPr>
        <w:t xml:space="preserve">PPS Lease </w:t>
      </w:r>
      <w:r>
        <w:t xml:space="preserve">has the meaning given by section 13 of the PPSA. </w:t>
      </w:r>
    </w:p>
    <w:p w:rsidR="001B3D5D" w:rsidRDefault="004D5502">
      <w:pPr>
        <w:pStyle w:val="DefinitionL1"/>
      </w:pPr>
      <w:r>
        <w:rPr>
          <w:b/>
        </w:rPr>
        <w:t>Premises</w:t>
      </w:r>
      <w:r>
        <w:t xml:space="preserve"> means:</w:t>
      </w:r>
    </w:p>
    <w:p w:rsidR="001B3D5D" w:rsidRDefault="004D5502">
      <w:pPr>
        <w:pStyle w:val="DefinitionL2"/>
      </w:pPr>
      <w:r>
        <w:t xml:space="preserve">the premises described in </w:t>
      </w:r>
      <w:r>
        <w:fldChar w:fldCharType="begin"/>
      </w:r>
      <w:r>
        <w:instrText xml:space="preserve"> REF _Ref9132039 \w \h  \* MERGEFORMAT </w:instrText>
      </w:r>
      <w:r>
        <w:fldChar w:fldCharType="separate"/>
      </w:r>
      <w:r>
        <w:t xml:space="preserve">Item 1 </w:t>
      </w:r>
      <w:r>
        <w:fldChar w:fldCharType="end"/>
      </w:r>
      <w:r>
        <w:t>; and</w:t>
      </w:r>
    </w:p>
    <w:p w:rsidR="001B3D5D" w:rsidRDefault="004D5502">
      <w:pPr>
        <w:pStyle w:val="DefinitionL2"/>
      </w:pPr>
      <w:r>
        <w:t xml:space="preserve">the Landlord's Fixtures. </w:t>
      </w:r>
    </w:p>
    <w:p w:rsidR="001B3D5D" w:rsidRDefault="004D5502">
      <w:pPr>
        <w:pStyle w:val="DefinitionL1"/>
      </w:pPr>
      <w:r>
        <w:rPr>
          <w:b/>
        </w:rPr>
        <w:t>Proh</w:t>
      </w:r>
      <w:r>
        <w:rPr>
          <w:b/>
        </w:rPr>
        <w:t xml:space="preserve">ibited Business </w:t>
      </w:r>
      <w:r>
        <w:t>means a business involving:</w:t>
      </w:r>
    </w:p>
    <w:p w:rsidR="001B3D5D" w:rsidRDefault="004D5502">
      <w:pPr>
        <w:pStyle w:val="DefinitionL2"/>
      </w:pPr>
      <w:r>
        <w:t>the sale, provision or operation of:</w:t>
      </w:r>
    </w:p>
    <w:p w:rsidR="001B3D5D" w:rsidRDefault="004D5502">
      <w:pPr>
        <w:pStyle w:val="DefinitionL3"/>
      </w:pPr>
      <w:r>
        <w:lastRenderedPageBreak/>
        <w:t xml:space="preserve">sexually explicit or pornographic goods; </w:t>
      </w:r>
    </w:p>
    <w:p w:rsidR="001B3D5D" w:rsidRDefault="004D5502">
      <w:pPr>
        <w:pStyle w:val="DefinitionL3"/>
      </w:pPr>
      <w:r>
        <w:t xml:space="preserve">brothels; </w:t>
      </w:r>
    </w:p>
    <w:p w:rsidR="001B3D5D" w:rsidRDefault="004D5502">
      <w:pPr>
        <w:pStyle w:val="DefinitionL3"/>
      </w:pPr>
      <w:r>
        <w:t xml:space="preserve">tattoo parlours; </w:t>
      </w:r>
    </w:p>
    <w:p w:rsidR="001B3D5D" w:rsidRDefault="004D5502">
      <w:pPr>
        <w:pStyle w:val="DefinitionL3"/>
      </w:pPr>
      <w:r>
        <w:t>guns, firearms, explosives or offensive weapons; or</w:t>
      </w:r>
    </w:p>
    <w:p w:rsidR="001B3D5D" w:rsidRDefault="004D5502">
      <w:pPr>
        <w:pStyle w:val="DefinitionL2"/>
      </w:pPr>
      <w:r>
        <w:t>any other business or activity which the Head-Landlo</w:t>
      </w:r>
      <w:r>
        <w:t xml:space="preserve">rd or Landlord notifies the Tenant. </w:t>
      </w:r>
    </w:p>
    <w:p w:rsidR="001B3D5D" w:rsidRDefault="004D5502">
      <w:pPr>
        <w:pStyle w:val="DefinitionL1"/>
      </w:pPr>
      <w:r>
        <w:rPr>
          <w:b/>
        </w:rPr>
        <w:t>Rent</w:t>
      </w:r>
      <w:r>
        <w:t xml:space="preserve"> means the amount stated in </w:t>
      </w:r>
      <w:r>
        <w:fldChar w:fldCharType="begin"/>
      </w:r>
      <w:r>
        <w:instrText xml:space="preserve"> REF _Ref9132113 \w \h  \* MERGEFORMAT </w:instrText>
      </w:r>
      <w:r>
        <w:fldChar w:fldCharType="separate"/>
      </w:r>
      <w:r>
        <w:t xml:space="preserve">Item 5 </w:t>
      </w:r>
      <w:r>
        <w:fldChar w:fldCharType="end"/>
      </w:r>
      <w:r>
        <w:t>, as varied in accordance with the provisions of this lease.</w:t>
      </w:r>
    </w:p>
    <w:p w:rsidR="001B3D5D" w:rsidRDefault="004D5502">
      <w:pPr>
        <w:pStyle w:val="DefinitionL1"/>
      </w:pPr>
      <w:r>
        <w:rPr>
          <w:b/>
        </w:rPr>
        <w:t>Requirement</w:t>
      </w:r>
      <w:r>
        <w:t xml:space="preserve"> mea</w:t>
      </w:r>
      <w:r>
        <w:t>ns any requirement, notice, order or direction received from or given by any Authority applying to the Premises.</w:t>
      </w:r>
    </w:p>
    <w:p w:rsidR="001B3D5D" w:rsidRDefault="004D5502">
      <w:pPr>
        <w:pStyle w:val="DefinitionL1"/>
      </w:pPr>
      <w:r>
        <w:rPr>
          <w:b/>
        </w:rPr>
        <w:t>Retail Act</w:t>
      </w:r>
      <w:r>
        <w:t xml:space="preserve"> means the </w:t>
      </w:r>
      <w:r>
        <w:rPr>
          <w:i/>
        </w:rPr>
        <w:t>Retail Leases Act 2003</w:t>
      </w:r>
      <w:r>
        <w:t xml:space="preserve"> (Vic).</w:t>
      </w:r>
    </w:p>
    <w:p w:rsidR="001B3D5D" w:rsidRDefault="004D5502">
      <w:pPr>
        <w:pStyle w:val="DefinitionL1"/>
      </w:pPr>
      <w:r>
        <w:rPr>
          <w:b/>
        </w:rPr>
        <w:t>Review Date</w:t>
      </w:r>
      <w:r>
        <w:t xml:space="preserve"> means each date that is a CPI Review Date or Market Review Date.</w:t>
      </w:r>
    </w:p>
    <w:p w:rsidR="001B3D5D" w:rsidRDefault="004D5502">
      <w:pPr>
        <w:pStyle w:val="DefinitionL1"/>
      </w:pPr>
      <w:r>
        <w:rPr>
          <w:b/>
        </w:rPr>
        <w:t xml:space="preserve">Security </w:t>
      </w:r>
      <w:r>
        <w:t xml:space="preserve">means </w:t>
      </w:r>
      <w:r>
        <w:t>any or all of:</w:t>
      </w:r>
    </w:p>
    <w:p w:rsidR="001B3D5D" w:rsidRDefault="004D5502">
      <w:pPr>
        <w:pStyle w:val="DefinitionL2"/>
      </w:pPr>
      <w:r>
        <w:tab/>
        <w:t>a charge, mortgage, lien or pledge; or</w:t>
      </w:r>
    </w:p>
    <w:p w:rsidR="001B3D5D" w:rsidRDefault="004D5502">
      <w:pPr>
        <w:pStyle w:val="DefinitionL2"/>
      </w:pPr>
      <w:r>
        <w:tab/>
        <w:t xml:space="preserve">a security interest within the meaning of the PPSA. </w:t>
      </w:r>
    </w:p>
    <w:p w:rsidR="001B3D5D" w:rsidRDefault="004D5502">
      <w:pPr>
        <w:pStyle w:val="DefinitionL1"/>
      </w:pPr>
      <w:r>
        <w:rPr>
          <w:b/>
        </w:rPr>
        <w:t>Security Amount</w:t>
      </w:r>
      <w:r>
        <w:t xml:space="preserve"> means the amount equal to 6 months' Rent and GST. </w:t>
      </w:r>
    </w:p>
    <w:p w:rsidR="001B3D5D" w:rsidRDefault="004D5502">
      <w:pPr>
        <w:pStyle w:val="DefinitionL1"/>
      </w:pPr>
      <w:r>
        <w:rPr>
          <w:b/>
        </w:rPr>
        <w:t>Services</w:t>
      </w:r>
      <w:r>
        <w:t xml:space="preserve"> means the services provided by Authorities, the Landlord or others to the Premises, including (if provided) electricity, gas, water, sewerage, oil, internet access, building intelligence facilities and communications together with all plant and equipment </w:t>
      </w:r>
      <w:r>
        <w:t>relating to those services.</w:t>
      </w:r>
    </w:p>
    <w:p w:rsidR="001B3D5D" w:rsidRDefault="004D5502">
      <w:pPr>
        <w:pStyle w:val="DefinitionL1"/>
      </w:pPr>
      <w:r>
        <w:rPr>
          <w:b/>
        </w:rPr>
        <w:t xml:space="preserve">Specified Rate </w:t>
      </w:r>
      <w:r>
        <w:t xml:space="preserve">means interest at the rate of two percent higher than the rate for the time being fixed under section 2 of the </w:t>
      </w:r>
      <w:r>
        <w:rPr>
          <w:i/>
        </w:rPr>
        <w:t>Penalty Interest Rates Act 1983</w:t>
      </w:r>
      <w:r>
        <w:t xml:space="preserve"> (Vic).</w:t>
      </w:r>
    </w:p>
    <w:p w:rsidR="001B3D5D" w:rsidRDefault="004D5502">
      <w:pPr>
        <w:pStyle w:val="DefinitionL1"/>
      </w:pPr>
      <w:r>
        <w:rPr>
          <w:b/>
        </w:rPr>
        <w:t xml:space="preserve">Specified Repair Work </w:t>
      </w:r>
      <w:r>
        <w:t>has the meaning given in clause </w:t>
      </w:r>
      <w:r>
        <w:fldChar w:fldCharType="begin"/>
      </w:r>
      <w:r>
        <w:instrText xml:space="preserve"> REF _Ref356987197 \r \h </w:instrText>
      </w:r>
      <w:r>
        <w:fldChar w:fldCharType="separate"/>
      </w:r>
      <w:r>
        <w:t>9.9(b)</w:t>
      </w:r>
      <w:r>
        <w:fldChar w:fldCharType="end"/>
      </w:r>
      <w:r>
        <w:t xml:space="preserve">. </w:t>
      </w:r>
    </w:p>
    <w:p w:rsidR="001B3D5D" w:rsidRDefault="004D5502">
      <w:pPr>
        <w:pStyle w:val="DefinitionL1"/>
      </w:pPr>
      <w:r>
        <w:rPr>
          <w:b/>
        </w:rPr>
        <w:t xml:space="preserve">State </w:t>
      </w:r>
      <w:r>
        <w:t>means the State of Victoria.</w:t>
      </w:r>
    </w:p>
    <w:p w:rsidR="001B3D5D" w:rsidRDefault="004D5502">
      <w:pPr>
        <w:pStyle w:val="DefinitionL1"/>
      </w:pPr>
      <w:r>
        <w:rPr>
          <w:b/>
        </w:rPr>
        <w:t>Tenant</w:t>
      </w:r>
      <w:r>
        <w:t xml:space="preserve"> includes:</w:t>
      </w:r>
    </w:p>
    <w:p w:rsidR="001B3D5D" w:rsidRDefault="004D5502">
      <w:pPr>
        <w:pStyle w:val="DefinitionL2"/>
      </w:pPr>
      <w:r>
        <w:t>if the Tenant is a body corporate, the Tenant's successors and assigns approved by the Landlord;</w:t>
      </w:r>
    </w:p>
    <w:p w:rsidR="001B3D5D" w:rsidRDefault="004D5502">
      <w:pPr>
        <w:pStyle w:val="DefinitionL2"/>
      </w:pPr>
      <w:r>
        <w:t>if the</w:t>
      </w:r>
      <w:r>
        <w:t xml:space="preserve"> Tenant is a natural person, the Tenant's executors and administrators and assigns approved by the Landlord; and</w:t>
      </w:r>
    </w:p>
    <w:p w:rsidR="001B3D5D" w:rsidRDefault="004D5502">
      <w:pPr>
        <w:pStyle w:val="DefinitionL2"/>
      </w:pPr>
      <w:r>
        <w:t xml:space="preserve">except for the purposes of clause </w:t>
      </w:r>
      <w:r>
        <w:fldChar w:fldCharType="begin"/>
      </w:r>
      <w:r>
        <w:instrText xml:space="preserve"> REF _Ref356911134 \r \h </w:instrText>
      </w:r>
      <w:r>
        <w:fldChar w:fldCharType="separate"/>
      </w:r>
      <w:r>
        <w:t>2.1</w:t>
      </w:r>
      <w:r>
        <w:fldChar w:fldCharType="end"/>
      </w:r>
      <w:r>
        <w:t xml:space="preserve"> and as the co</w:t>
      </w:r>
      <w:r>
        <w:t>ntext permits, the Tenant's Agents.</w:t>
      </w:r>
    </w:p>
    <w:p w:rsidR="001B3D5D" w:rsidRDefault="004D5502">
      <w:pPr>
        <w:pStyle w:val="DefinitionL1"/>
      </w:pPr>
      <w:r>
        <w:rPr>
          <w:b/>
        </w:rPr>
        <w:t>Tenant's Agents</w:t>
      </w:r>
      <w:r>
        <w:t xml:space="preserve"> means each agent, contractor, employee, invitee, licensee, sub-contractor and sub-tenant of the Tenant and any other person claiming through or under the Tenant, however expressly excluding persons whose </w:t>
      </w:r>
      <w:r>
        <w:t>presence at the Premises or in proximity thereto is solely because they are the Tenant's customers or potential customers.</w:t>
      </w:r>
    </w:p>
    <w:p w:rsidR="001B3D5D" w:rsidRDefault="004D5502">
      <w:pPr>
        <w:pStyle w:val="DefinitionL1"/>
      </w:pPr>
      <w:r>
        <w:rPr>
          <w:b/>
        </w:rPr>
        <w:t xml:space="preserve">Tenant's Fixtures </w:t>
      </w:r>
      <w:r>
        <w:t>includes all fixtures, fittings, plant, equipment and other articles (including cool rooms and refrigeration plant)</w:t>
      </w:r>
      <w:r>
        <w:t xml:space="preserve"> in or on the Premises in the nature of trade or any previous occupier's fixtures and chattels which are not Landlord's Fixtures, and includes anything installed or placed in or on the Premises by or for the Tenant (whether financed or not).</w:t>
      </w:r>
    </w:p>
    <w:p w:rsidR="001B3D5D" w:rsidRDefault="004D5502">
      <w:pPr>
        <w:pStyle w:val="DefinitionL1"/>
      </w:pPr>
      <w:r>
        <w:rPr>
          <w:b/>
        </w:rPr>
        <w:t xml:space="preserve">Tenant's Post </w:t>
      </w:r>
      <w:r>
        <w:rPr>
          <w:b/>
        </w:rPr>
        <w:t xml:space="preserve">Box </w:t>
      </w:r>
      <w:r>
        <w:t>means the post box at the Market Land, if any, nominated by the Landlord, from time to time, for the Tenant's use.</w:t>
      </w:r>
    </w:p>
    <w:p w:rsidR="001B3D5D" w:rsidRDefault="004D5502">
      <w:pPr>
        <w:pStyle w:val="DefinitionL1"/>
      </w:pPr>
      <w:r>
        <w:rPr>
          <w:b/>
        </w:rPr>
        <w:t>Term</w:t>
      </w:r>
      <w:r>
        <w:t xml:space="preserve"> means the term of this lease set out in </w:t>
      </w:r>
      <w:r>
        <w:fldChar w:fldCharType="begin"/>
      </w:r>
      <w:r>
        <w:instrText xml:space="preserve"> REF _Ref9132068 \w \h  \* MERGEFORMAT </w:instrText>
      </w:r>
      <w:r>
        <w:fldChar w:fldCharType="separate"/>
      </w:r>
      <w:r>
        <w:t xml:space="preserve">Item 4 </w:t>
      </w:r>
      <w:r>
        <w:fldChar w:fldCharType="end"/>
      </w:r>
      <w:r>
        <w:t>.</w:t>
      </w:r>
    </w:p>
    <w:p w:rsidR="001B3D5D" w:rsidRDefault="004D5502">
      <w:pPr>
        <w:pStyle w:val="DefinitionL1"/>
      </w:pPr>
      <w:r>
        <w:rPr>
          <w:b/>
        </w:rPr>
        <w:t>Termination Date</w:t>
      </w:r>
      <w:r>
        <w:t xml:space="preserve"> means the date stated in </w:t>
      </w:r>
      <w:r>
        <w:fldChar w:fldCharType="begin"/>
      </w:r>
      <w:r>
        <w:instrText xml:space="preserve"> REF _Ref9132003 \r \h  \* MERGEFORMAT </w:instrText>
      </w:r>
      <w:r>
        <w:fldChar w:fldCharType="separate"/>
      </w:r>
      <w:r>
        <w:t xml:space="preserve">Item 3 </w:t>
      </w:r>
      <w:r>
        <w:fldChar w:fldCharType="end"/>
      </w:r>
      <w:r>
        <w:t>.</w:t>
      </w:r>
    </w:p>
    <w:p w:rsidR="001B3D5D" w:rsidRDefault="004D5502">
      <w:pPr>
        <w:pStyle w:val="DefinitionL1"/>
      </w:pPr>
      <w:r>
        <w:rPr>
          <w:b/>
        </w:rPr>
        <w:lastRenderedPageBreak/>
        <w:t>Valuer</w:t>
      </w:r>
      <w:r>
        <w:t xml:space="preserve"> means a valuer who:</w:t>
      </w:r>
    </w:p>
    <w:p w:rsidR="001B3D5D" w:rsidRDefault="004D5502">
      <w:pPr>
        <w:pStyle w:val="DefinitionL2"/>
      </w:pPr>
      <w:r>
        <w:tab/>
        <w:t>is a full member (Associate or Fellow) of the Aust</w:t>
      </w:r>
      <w:r>
        <w:t>ralian Property Institute – Victorian Division of not less than 5 years standing;</w:t>
      </w:r>
    </w:p>
    <w:p w:rsidR="001B3D5D" w:rsidRDefault="004D5502">
      <w:pPr>
        <w:pStyle w:val="DefinitionL2"/>
      </w:pPr>
      <w:r>
        <w:tab/>
        <w:t xml:space="preserve">has been recognised by the Australian Property Institute – Victorian Division as a certified practising valuer; and </w:t>
      </w:r>
    </w:p>
    <w:p w:rsidR="001B3D5D" w:rsidRDefault="004D5502">
      <w:pPr>
        <w:pStyle w:val="DefinitionL2"/>
      </w:pPr>
      <w:r>
        <w:tab/>
        <w:t>is experienced in valuing investment grade industrial p</w:t>
      </w:r>
      <w:r>
        <w:t>roperty.</w:t>
      </w:r>
    </w:p>
    <w:p w:rsidR="001B3D5D" w:rsidRDefault="004D5502">
      <w:pPr>
        <w:pStyle w:val="DefinitionL1"/>
      </w:pPr>
      <w:r>
        <w:rPr>
          <w:b/>
        </w:rPr>
        <w:t>Warehousing Complex</w:t>
      </w:r>
      <w:r>
        <w:t xml:space="preserve"> means the warehousing complex constructed on </w:t>
      </w:r>
      <w:r>
        <w:t>the Warehouse Land and includes:</w:t>
      </w:r>
    </w:p>
    <w:p w:rsidR="001B3D5D" w:rsidRDefault="004D5502">
      <w:pPr>
        <w:pStyle w:val="DefinitionL2"/>
      </w:pPr>
      <w:r>
        <w:tab/>
        <w:t xml:space="preserve">all structures, Services and Common Areas situated on the Warehouse Land owned, occupied or controlled by the Landlord; and </w:t>
      </w:r>
    </w:p>
    <w:p w:rsidR="001B3D5D" w:rsidRDefault="004D5502">
      <w:pPr>
        <w:pStyle w:val="DefinitionL2"/>
      </w:pPr>
      <w:r>
        <w:tab/>
        <w:t xml:space="preserve">any additions </w:t>
      </w:r>
      <w:r>
        <w:t xml:space="preserve">and alterations to the Warehousing Complex.  </w:t>
      </w:r>
    </w:p>
    <w:p w:rsidR="001B3D5D" w:rsidRDefault="004D5502">
      <w:pPr>
        <w:pStyle w:val="DefinitionL1"/>
      </w:pPr>
      <w:bookmarkStart w:id="57" w:name="_Toc334110374"/>
      <w:bookmarkStart w:id="58" w:name="_Toc345578186"/>
      <w:r>
        <w:rPr>
          <w:b/>
        </w:rPr>
        <w:t xml:space="preserve">Warehouse Land </w:t>
      </w:r>
      <w:r>
        <w:t>means the land identified on the</w:t>
      </w:r>
      <w:r>
        <w:t xml:space="preserve"> first</w:t>
      </w:r>
      <w:r>
        <w:t xml:space="preserve"> plan in Annexure C</w:t>
      </w:r>
      <w:r>
        <w:t xml:space="preserve"> and being the land coloured red on the second plan in Annex</w:t>
      </w:r>
      <w:r>
        <w:t>ure C</w:t>
      </w:r>
      <w:r>
        <w:t>.</w:t>
      </w:r>
    </w:p>
    <w:p w:rsidR="001B3D5D" w:rsidRDefault="004D5502">
      <w:pPr>
        <w:pStyle w:val="MELegal2"/>
      </w:pPr>
      <w:bookmarkStart w:id="59" w:name="_Toc411870599"/>
      <w:r>
        <w:t>Interpretation</w:t>
      </w:r>
      <w:bookmarkEnd w:id="57"/>
      <w:bookmarkEnd w:id="58"/>
      <w:bookmarkEnd w:id="59"/>
    </w:p>
    <w:p w:rsidR="001B3D5D" w:rsidRDefault="004D5502">
      <w:pPr>
        <w:ind w:left="680"/>
      </w:pPr>
      <w:r>
        <w:t>In this lease, unless the context otherwise requires:</w:t>
      </w:r>
    </w:p>
    <w:p w:rsidR="001B3D5D" w:rsidRDefault="004D5502">
      <w:pPr>
        <w:pStyle w:val="MELegal3"/>
      </w:pPr>
      <w:r>
        <w:t>headings and underlinings are for convenience only and do not affect the interpretation of this lease;</w:t>
      </w:r>
    </w:p>
    <w:p w:rsidR="001B3D5D" w:rsidRDefault="004D5502">
      <w:pPr>
        <w:pStyle w:val="MELegal3"/>
      </w:pPr>
      <w:r>
        <w:t>words importing the singular include the plural and vice versa;</w:t>
      </w:r>
    </w:p>
    <w:p w:rsidR="001B3D5D" w:rsidRDefault="004D5502">
      <w:pPr>
        <w:pStyle w:val="MELegal3"/>
      </w:pPr>
      <w:r>
        <w:t>words importing a gender include any gender;</w:t>
      </w:r>
    </w:p>
    <w:p w:rsidR="001B3D5D" w:rsidRDefault="004D5502">
      <w:pPr>
        <w:pStyle w:val="MELegal3"/>
      </w:pPr>
      <w:r>
        <w:t>an expression importing a natural person inc</w:t>
      </w:r>
      <w:r>
        <w:t>ludes any company, partnership, joint venture, association, corporation or other body corporate and any Authority;</w:t>
      </w:r>
    </w:p>
    <w:p w:rsidR="001B3D5D" w:rsidRDefault="004D5502">
      <w:pPr>
        <w:pStyle w:val="MELegal3"/>
      </w:pPr>
      <w:r>
        <w:t>a reference to any thing includes a part of that thing;</w:t>
      </w:r>
    </w:p>
    <w:p w:rsidR="001B3D5D" w:rsidRDefault="004D5502">
      <w:pPr>
        <w:pStyle w:val="MELegal3"/>
      </w:pPr>
      <w:r>
        <w:t>a reference to a part, clause, party, information table, annexure, exhibit or schedul</w:t>
      </w:r>
      <w:r>
        <w:t>e is a reference to a part and clause of and a party, information table, annexure, exhibit and schedule to this lease;</w:t>
      </w:r>
    </w:p>
    <w:p w:rsidR="001B3D5D" w:rsidRDefault="004D5502">
      <w:pPr>
        <w:pStyle w:val="MELegal3"/>
      </w:pPr>
      <w:r>
        <w:t>where the day on or by which any thing is to be done is not a Business Day, that thing must be done on or by the next succeeding day whic</w:t>
      </w:r>
      <w:r>
        <w:t>h is a Business Day;</w:t>
      </w:r>
    </w:p>
    <w:p w:rsidR="001B3D5D" w:rsidRDefault="004D5502">
      <w:pPr>
        <w:pStyle w:val="MELegal3"/>
      </w:pPr>
      <w:r>
        <w:t xml:space="preserve">no rule of construction applies to the disadvantage of a party because that party was responsible for the preparation of this lease or any part of it; </w:t>
      </w:r>
    </w:p>
    <w:p w:rsidR="001B3D5D" w:rsidRDefault="004D5502">
      <w:pPr>
        <w:pStyle w:val="MELegal3"/>
      </w:pPr>
      <w:r>
        <w:t xml:space="preserve">a covenant or agreement on the part of two or more persons binds them jointly and </w:t>
      </w:r>
      <w:r>
        <w:t>severally; and</w:t>
      </w:r>
    </w:p>
    <w:p w:rsidR="001B3D5D" w:rsidRDefault="004D5502">
      <w:pPr>
        <w:pStyle w:val="MELegal3"/>
      </w:pPr>
      <w:r>
        <w:t>a reference to any legislative instrument includes any re-enactments and amendments of that instrument from time to time.</w:t>
      </w:r>
    </w:p>
    <w:p w:rsidR="001B3D5D" w:rsidRDefault="004D5502">
      <w:pPr>
        <w:pStyle w:val="MELegal1"/>
      </w:pPr>
      <w:bookmarkStart w:id="60" w:name="_Toc334110375"/>
      <w:bookmarkStart w:id="61" w:name="_Toc345578187"/>
      <w:bookmarkStart w:id="62" w:name="_Toc411870600"/>
      <w:r>
        <w:t>Grant</w:t>
      </w:r>
      <w:bookmarkEnd w:id="60"/>
      <w:bookmarkEnd w:id="61"/>
      <w:bookmarkEnd w:id="62"/>
    </w:p>
    <w:p w:rsidR="001B3D5D" w:rsidRDefault="004D5502">
      <w:pPr>
        <w:pStyle w:val="MELegal2"/>
      </w:pPr>
      <w:bookmarkStart w:id="63" w:name="_Toc345578188"/>
      <w:bookmarkStart w:id="64" w:name="_Ref356911134"/>
      <w:bookmarkStart w:id="65" w:name="_Toc411870601"/>
      <w:r>
        <w:t>Grant of lease</w:t>
      </w:r>
      <w:bookmarkEnd w:id="63"/>
      <w:bookmarkEnd w:id="64"/>
      <w:bookmarkEnd w:id="65"/>
    </w:p>
    <w:p w:rsidR="001B3D5D" w:rsidRDefault="004D5502">
      <w:pPr>
        <w:ind w:firstLine="680"/>
      </w:pPr>
      <w:r>
        <w:t>The Landlord</w:t>
      </w:r>
      <w:bookmarkStart w:id="66" w:name="_Ref341953321"/>
      <w:r>
        <w:t>:</w:t>
      </w:r>
    </w:p>
    <w:p w:rsidR="001B3D5D" w:rsidRDefault="004D5502">
      <w:pPr>
        <w:pStyle w:val="MELegal3"/>
      </w:pPr>
      <w:r>
        <w:t>leases the Premises to the Tenant</w:t>
      </w:r>
      <w:bookmarkEnd w:id="66"/>
      <w:r>
        <w:t>; and</w:t>
      </w:r>
    </w:p>
    <w:p w:rsidR="001B3D5D" w:rsidRDefault="004D5502">
      <w:pPr>
        <w:pStyle w:val="MELegal3"/>
      </w:pPr>
      <w:r>
        <w:lastRenderedPageBreak/>
        <w:t>grants to the Tenant the right to use the Com</w:t>
      </w:r>
      <w:r>
        <w:t>mon Area in common with other persons entitled to use them,</w:t>
      </w:r>
    </w:p>
    <w:p w:rsidR="001B3D5D" w:rsidRDefault="004D5502">
      <w:pPr>
        <w:ind w:firstLine="680"/>
      </w:pPr>
      <w:r>
        <w:t>on the terms and conditions contained in this lease.</w:t>
      </w:r>
    </w:p>
    <w:p w:rsidR="001B3D5D" w:rsidRDefault="004D5502">
      <w:pPr>
        <w:pStyle w:val="MELegal2"/>
      </w:pPr>
      <w:bookmarkStart w:id="67" w:name="_Toc333488576"/>
      <w:bookmarkStart w:id="68" w:name="_Ref335323032"/>
      <w:bookmarkStart w:id="69" w:name="_Toc345578189"/>
      <w:bookmarkStart w:id="70" w:name="_Ref374105043"/>
      <w:bookmarkStart w:id="71" w:name="_Toc411870602"/>
      <w:r>
        <w:t>Landlord's reservations</w:t>
      </w:r>
      <w:bookmarkEnd w:id="67"/>
      <w:bookmarkEnd w:id="68"/>
      <w:bookmarkEnd w:id="69"/>
      <w:bookmarkEnd w:id="70"/>
      <w:bookmarkEnd w:id="71"/>
    </w:p>
    <w:p w:rsidR="001B3D5D" w:rsidRDefault="004D5502">
      <w:pPr>
        <w:pStyle w:val="MELegal3"/>
      </w:pPr>
      <w:bookmarkStart w:id="72" w:name="_Ref335323033"/>
      <w:r>
        <w:t>The Landlord reserves the right to:</w:t>
      </w:r>
      <w:bookmarkEnd w:id="72"/>
    </w:p>
    <w:p w:rsidR="001B3D5D" w:rsidRDefault="004D5502">
      <w:pPr>
        <w:pStyle w:val="MELegal4"/>
      </w:pPr>
      <w:bookmarkStart w:id="73" w:name="_Ref341953314"/>
      <w:r>
        <w:t>use the exterior walls and the roof of the Premises;</w:t>
      </w:r>
      <w:bookmarkEnd w:id="73"/>
    </w:p>
    <w:p w:rsidR="001B3D5D" w:rsidRDefault="004D5502">
      <w:pPr>
        <w:pStyle w:val="MELegal4"/>
      </w:pPr>
      <w:bookmarkStart w:id="74" w:name="_Ref72118846"/>
      <w:r>
        <w:t>install, inspect, maintain, re</w:t>
      </w:r>
      <w:r>
        <w:t>pair, alter, remove and replace pipes, ducts, air-conditioning equipment, conduits, wires, cables and fibres leading through the Premises;</w:t>
      </w:r>
      <w:bookmarkEnd w:id="74"/>
    </w:p>
    <w:p w:rsidR="001B3D5D" w:rsidRDefault="004D5502">
      <w:pPr>
        <w:pStyle w:val="MELegal4"/>
      </w:pPr>
      <w:r>
        <w:t xml:space="preserve">pass and run water, air, electricity, sewerage, drainage, gas and other services through the pipes, ducts, conduits, </w:t>
      </w:r>
      <w:r>
        <w:t>wires, cables and fibres; and</w:t>
      </w:r>
    </w:p>
    <w:p w:rsidR="001B3D5D" w:rsidRDefault="004D5502">
      <w:pPr>
        <w:pStyle w:val="MELegal4"/>
      </w:pPr>
      <w:r>
        <w:t>enter and remain in the Premises for the purposes stated in clause </w:t>
      </w:r>
      <w:r>
        <w:fldChar w:fldCharType="begin"/>
      </w:r>
      <w:r>
        <w:instrText xml:space="preserve"> REF _Ref335323032 \r \h  \* MERGEFORMAT </w:instrText>
      </w:r>
      <w:r>
        <w:fldChar w:fldCharType="separate"/>
      </w:r>
      <w:r>
        <w:t>2.2</w:t>
      </w:r>
      <w:r>
        <w:fldChar w:fldCharType="end"/>
      </w:r>
      <w:r>
        <w:fldChar w:fldCharType="begin"/>
      </w:r>
      <w:r>
        <w:instrText xml:space="preserve"> REF _Ref335323033 \r \h  \* MERGEFORMAT </w:instrText>
      </w:r>
      <w:r>
        <w:fldChar w:fldCharType="separate"/>
      </w:r>
      <w:r>
        <w:t>(a)</w:t>
      </w:r>
      <w:r>
        <w:fldChar w:fldCharType="end"/>
      </w:r>
      <w:r>
        <w:fldChar w:fldCharType="begin"/>
      </w:r>
      <w:r>
        <w:instrText xml:space="preserve"> REF _Ref72118846 \r \h  \* MERGEFORMAT </w:instrText>
      </w:r>
      <w:r>
        <w:fldChar w:fldCharType="separate"/>
      </w:r>
      <w:r>
        <w:t>(ii)</w:t>
      </w:r>
      <w:r>
        <w:fldChar w:fldCharType="end"/>
      </w:r>
      <w:r>
        <w:t>.</w:t>
      </w:r>
    </w:p>
    <w:p w:rsidR="001B3D5D" w:rsidRDefault="004D5502">
      <w:pPr>
        <w:pStyle w:val="MELegal3"/>
      </w:pPr>
      <w:r>
        <w:t>The Landlord may enter and remain in the Premises under clause </w:t>
      </w:r>
      <w:r>
        <w:fldChar w:fldCharType="begin"/>
      </w:r>
      <w:r>
        <w:instrText xml:space="preserve"> REF _Ref33532</w:instrText>
      </w:r>
      <w:r>
        <w:instrText xml:space="preserve">3032 \r \h  \* MERGEFORMAT </w:instrText>
      </w:r>
      <w:r>
        <w:fldChar w:fldCharType="separate"/>
      </w:r>
      <w:r>
        <w:t>2.2</w:t>
      </w:r>
      <w:r>
        <w:fldChar w:fldCharType="end"/>
      </w:r>
      <w:r>
        <w:fldChar w:fldCharType="begin"/>
      </w:r>
      <w:r>
        <w:instrText xml:space="preserve"> REF _Ref72118846 \r \h  \* MERGEFORMAT </w:instrText>
      </w:r>
      <w:r>
        <w:fldChar w:fldCharType="separate"/>
      </w:r>
      <w:r>
        <w:t>(a)(ii)</w:t>
      </w:r>
      <w:r>
        <w:fldChar w:fldCharType="end"/>
      </w:r>
      <w:r>
        <w:t xml:space="preserve"> at all reasonable times on giving the Tenant reasonable notice (except in the case of emergency when no notice is necessary and the entry may be at any time). In doing so, the Landlord must cause as little inconvenience to the Tenant as is practicable in </w:t>
      </w:r>
      <w:r>
        <w:t xml:space="preserve">the circumstances. </w:t>
      </w:r>
    </w:p>
    <w:p w:rsidR="001B3D5D" w:rsidRDefault="004D5502">
      <w:pPr>
        <w:pStyle w:val="MELegal3"/>
      </w:pPr>
      <w:r>
        <w:t xml:space="preserve">In exercising the Landlord's rights under this clause </w:t>
      </w:r>
      <w:r>
        <w:fldChar w:fldCharType="begin"/>
      </w:r>
      <w:r>
        <w:instrText xml:space="preserve"> REF _Ref374105043 \r \h </w:instrText>
      </w:r>
      <w:r>
        <w:fldChar w:fldCharType="separate"/>
      </w:r>
      <w:r>
        <w:t>2.2</w:t>
      </w:r>
      <w:r>
        <w:fldChar w:fldCharType="end"/>
      </w:r>
      <w:r>
        <w:t>, the Landlord must use reasonable endeavours to ensure that there is no substantial d</w:t>
      </w:r>
      <w:r>
        <w:t>iminution to the Tenant's amenity of the Premises.</w:t>
      </w:r>
    </w:p>
    <w:p w:rsidR="001B3D5D" w:rsidRDefault="004D5502">
      <w:pPr>
        <w:pStyle w:val="MELegal1"/>
      </w:pPr>
      <w:bookmarkStart w:id="75" w:name="_Toc208745048"/>
      <w:bookmarkStart w:id="76" w:name="_Ref217359385"/>
      <w:bookmarkStart w:id="77" w:name="_Toc315852013"/>
      <w:bookmarkStart w:id="78" w:name="_Ref315854203"/>
      <w:bookmarkStart w:id="79" w:name="_Toc334110376"/>
      <w:bookmarkStart w:id="80" w:name="_Toc345578190"/>
      <w:bookmarkStart w:id="81" w:name="_Toc411870603"/>
      <w:r>
        <w:t>No warranty as to use</w:t>
      </w:r>
      <w:bookmarkEnd w:id="75"/>
      <w:bookmarkEnd w:id="76"/>
      <w:bookmarkEnd w:id="77"/>
      <w:bookmarkEnd w:id="78"/>
      <w:bookmarkEnd w:id="79"/>
      <w:bookmarkEnd w:id="80"/>
      <w:bookmarkEnd w:id="81"/>
    </w:p>
    <w:p w:rsidR="001B3D5D" w:rsidRDefault="004D5502">
      <w:pPr>
        <w:pStyle w:val="MELegal3"/>
      </w:pPr>
      <w:r>
        <w:t>The Landlord gives no warranty (either present or future) as to:</w:t>
      </w:r>
    </w:p>
    <w:p w:rsidR="001B3D5D" w:rsidRDefault="004D5502">
      <w:pPr>
        <w:pStyle w:val="MELegal4"/>
      </w:pPr>
      <w:r>
        <w:t>the suitability of the Premises or the Warehousing Complex or the use to which the Premises or the Warehousing Complex</w:t>
      </w:r>
      <w:r>
        <w:t xml:space="preserve"> may be put; and</w:t>
      </w:r>
    </w:p>
    <w:p w:rsidR="001B3D5D" w:rsidRDefault="004D5502">
      <w:pPr>
        <w:pStyle w:val="MELegal4"/>
      </w:pPr>
      <w:r>
        <w:t xml:space="preserve">the design, quality or durability of any coating applied to or that forms part of the floor of the Premises or the Warehousing Complex.  </w:t>
      </w:r>
    </w:p>
    <w:p w:rsidR="001B3D5D" w:rsidRDefault="004D5502">
      <w:pPr>
        <w:pStyle w:val="MELegal3"/>
      </w:pPr>
      <w:r>
        <w:t>The Tenant:</w:t>
      </w:r>
    </w:p>
    <w:p w:rsidR="001B3D5D" w:rsidRDefault="004D5502">
      <w:pPr>
        <w:pStyle w:val="MELegal4"/>
      </w:pPr>
      <w:r>
        <w:t>accepts this lease with full knowledge of and subject to any prohibitions or restrictions</w:t>
      </w:r>
      <w:r>
        <w:t xml:space="preserve"> on the use of the Premises from time to time under any Law or Requirement; and</w:t>
      </w:r>
    </w:p>
    <w:p w:rsidR="001B3D5D" w:rsidRDefault="004D5502">
      <w:pPr>
        <w:pStyle w:val="MELegal4"/>
      </w:pPr>
      <w:r>
        <w:t>must obtain, maintain and comply with at its Cost any consent or approval from any Authority necessary or appropriate for the Tenant's business under any Requirement or Law.</w:t>
      </w:r>
    </w:p>
    <w:p w:rsidR="001B3D5D" w:rsidRDefault="004D5502">
      <w:pPr>
        <w:pStyle w:val="MELegal3"/>
      </w:pPr>
      <w:r>
        <w:t>Th</w:t>
      </w:r>
      <w:r>
        <w:t>e Tenant may not make any Claim because of or in respect of any matter specified in or contemplated by this clause </w:t>
      </w:r>
      <w:r>
        <w:fldChar w:fldCharType="begin"/>
      </w:r>
      <w:r>
        <w:instrText xml:space="preserve"> REF _Ref315854203 \r \h  \* MERGEFORMAT </w:instrText>
      </w:r>
      <w:r>
        <w:fldChar w:fldCharType="separate"/>
      </w:r>
      <w:r>
        <w:t>3</w:t>
      </w:r>
      <w:r>
        <w:fldChar w:fldCharType="end"/>
      </w:r>
      <w:r>
        <w:t>.</w:t>
      </w:r>
    </w:p>
    <w:p w:rsidR="001B3D5D" w:rsidRDefault="004D5502">
      <w:pPr>
        <w:pStyle w:val="MELegal1"/>
      </w:pPr>
      <w:bookmarkStart w:id="82" w:name="_Toc334110380"/>
      <w:bookmarkStart w:id="83" w:name="_Toc345578191"/>
      <w:bookmarkStart w:id="84" w:name="_Toc411870604"/>
      <w:r>
        <w:t>Term of Lease and holding over</w:t>
      </w:r>
      <w:bookmarkEnd w:id="82"/>
      <w:bookmarkEnd w:id="83"/>
      <w:bookmarkEnd w:id="84"/>
    </w:p>
    <w:p w:rsidR="001B3D5D" w:rsidRDefault="004D5502">
      <w:pPr>
        <w:pStyle w:val="MELegal2"/>
      </w:pPr>
      <w:bookmarkStart w:id="85" w:name="_Toc334110381"/>
      <w:bookmarkStart w:id="86" w:name="_Toc345578192"/>
      <w:bookmarkStart w:id="87" w:name="_Toc411870605"/>
      <w:r>
        <w:t>Term of this lease</w:t>
      </w:r>
      <w:bookmarkEnd w:id="85"/>
      <w:bookmarkEnd w:id="86"/>
      <w:bookmarkEnd w:id="87"/>
    </w:p>
    <w:p w:rsidR="001B3D5D" w:rsidRDefault="004D5502">
      <w:pPr>
        <w:ind w:left="680"/>
      </w:pPr>
      <w:r>
        <w:t>The Term commences on the Commencement Date and expires on the Termination Date, subject to the provisions of this lease.</w:t>
      </w:r>
    </w:p>
    <w:p w:rsidR="001B3D5D" w:rsidRDefault="004D5502">
      <w:pPr>
        <w:pStyle w:val="MELegal2"/>
      </w:pPr>
      <w:bookmarkStart w:id="88" w:name="_Ref467658710"/>
      <w:bookmarkStart w:id="89" w:name="_Toc334110382"/>
      <w:bookmarkStart w:id="90" w:name="_Toc345578193"/>
      <w:bookmarkStart w:id="91" w:name="_Toc411870606"/>
      <w:r>
        <w:lastRenderedPageBreak/>
        <w:t>Holding over</w:t>
      </w:r>
      <w:bookmarkEnd w:id="88"/>
      <w:bookmarkEnd w:id="89"/>
      <w:bookmarkEnd w:id="90"/>
      <w:bookmarkEnd w:id="91"/>
    </w:p>
    <w:p w:rsidR="001B3D5D" w:rsidRDefault="004D5502">
      <w:pPr>
        <w:ind w:left="680"/>
      </w:pPr>
      <w:r>
        <w:t>If the Tenant occupies the Premises after the Termination Date (other than pursuant to the grant of a</w:t>
      </w:r>
      <w:r>
        <w:t xml:space="preserve"> further lease), without objection by the Landlord:</w:t>
      </w:r>
    </w:p>
    <w:p w:rsidR="001B3D5D" w:rsidRDefault="004D5502">
      <w:pPr>
        <w:pStyle w:val="MELegal3"/>
      </w:pPr>
      <w:r>
        <w:t>the Tenant must do so as a monthly tenant for monthly terms thereafter on the same terms and conditions as this lease as far as they apply to a monthly tenancy;</w:t>
      </w:r>
    </w:p>
    <w:p w:rsidR="001B3D5D" w:rsidRDefault="004D5502">
      <w:pPr>
        <w:pStyle w:val="MELegal3"/>
      </w:pPr>
      <w:r>
        <w:t xml:space="preserve">either party may end the tenancy by giving </w:t>
      </w:r>
      <w:r>
        <w:t>one month's written notice to the other, expiring at any time; and</w:t>
      </w:r>
    </w:p>
    <w:p w:rsidR="001B3D5D" w:rsidRDefault="004D5502">
      <w:pPr>
        <w:pStyle w:val="MELegal3"/>
      </w:pPr>
      <w:r>
        <w:t xml:space="preserve">the monthly rent starts at one twelfth of the Rent which the Tenant was paying immediately before the Term ended increased by 4%. </w:t>
      </w:r>
    </w:p>
    <w:p w:rsidR="001B3D5D" w:rsidRDefault="004D5502">
      <w:pPr>
        <w:pStyle w:val="MELegal1"/>
      </w:pPr>
      <w:bookmarkStart w:id="92" w:name="_Ref320027101"/>
      <w:bookmarkStart w:id="93" w:name="_Ref320027107"/>
      <w:bookmarkStart w:id="94" w:name="_Toc334110383"/>
      <w:bookmarkStart w:id="95" w:name="_Ref342298758"/>
      <w:bookmarkStart w:id="96" w:name="_Ref342298766"/>
      <w:bookmarkStart w:id="97" w:name="_Ref342298771"/>
      <w:bookmarkStart w:id="98" w:name="_Ref342298783"/>
      <w:bookmarkStart w:id="99" w:name="_Ref342298800"/>
      <w:bookmarkStart w:id="100" w:name="_Toc345578194"/>
      <w:bookmarkStart w:id="101" w:name="_Toc411870607"/>
      <w:r>
        <w:t xml:space="preserve">Tenant's </w:t>
      </w:r>
      <w:bookmarkEnd w:id="92"/>
      <w:bookmarkEnd w:id="93"/>
      <w:bookmarkEnd w:id="94"/>
      <w:r>
        <w:t>financial obligations</w:t>
      </w:r>
      <w:bookmarkEnd w:id="95"/>
      <w:bookmarkEnd w:id="96"/>
      <w:bookmarkEnd w:id="97"/>
      <w:bookmarkEnd w:id="98"/>
      <w:bookmarkEnd w:id="99"/>
      <w:bookmarkEnd w:id="100"/>
      <w:bookmarkEnd w:id="101"/>
    </w:p>
    <w:p w:rsidR="001B3D5D" w:rsidRDefault="004D5502">
      <w:pPr>
        <w:pStyle w:val="MELegal2"/>
      </w:pPr>
      <w:bookmarkStart w:id="102" w:name="_Ref315882874"/>
      <w:bookmarkStart w:id="103" w:name="_Toc334110384"/>
      <w:bookmarkStart w:id="104" w:name="_Toc345578195"/>
      <w:bookmarkStart w:id="105" w:name="_Toc411870608"/>
      <w:r>
        <w:t>Tenant's covenant</w:t>
      </w:r>
      <w:bookmarkEnd w:id="102"/>
      <w:bookmarkEnd w:id="103"/>
      <w:bookmarkEnd w:id="104"/>
      <w:bookmarkEnd w:id="105"/>
    </w:p>
    <w:p w:rsidR="001B3D5D" w:rsidRDefault="004D5502">
      <w:pPr>
        <w:pStyle w:val="MELegal3"/>
      </w:pPr>
      <w:r>
        <w:t>The Tenan</w:t>
      </w:r>
      <w:r>
        <w:t>t must pay the Rent to the Landlord during the Term.</w:t>
      </w:r>
    </w:p>
    <w:p w:rsidR="001B3D5D" w:rsidRDefault="004D5502">
      <w:pPr>
        <w:pStyle w:val="MELegal3"/>
      </w:pPr>
      <w:r>
        <w:t>The parties acknowledge and agree that subject to the terms of the Agreement for Lease, the Deposit will be credited towards the first month's Rent payable by the Tenant under this Lease.</w:t>
      </w:r>
    </w:p>
    <w:p w:rsidR="001B3D5D" w:rsidRDefault="004D5502">
      <w:pPr>
        <w:pStyle w:val="MELegal2"/>
      </w:pPr>
      <w:bookmarkStart w:id="106" w:name="_Ref168388379"/>
      <w:bookmarkStart w:id="107" w:name="_Toc315852017"/>
      <w:bookmarkStart w:id="108" w:name="_Toc334110385"/>
      <w:bookmarkStart w:id="109" w:name="_Toc345578196"/>
      <w:bookmarkStart w:id="110" w:name="_Toc411870609"/>
      <w:r>
        <w:t>Payment of Rent</w:t>
      </w:r>
      <w:bookmarkEnd w:id="106"/>
      <w:bookmarkEnd w:id="107"/>
      <w:bookmarkEnd w:id="108"/>
      <w:bookmarkEnd w:id="109"/>
      <w:bookmarkEnd w:id="110"/>
    </w:p>
    <w:p w:rsidR="001B3D5D" w:rsidRDefault="004D5502">
      <w:pPr>
        <w:ind w:left="680"/>
      </w:pPr>
      <w:r>
        <w:t>The Rent must be paid:</w:t>
      </w:r>
    </w:p>
    <w:p w:rsidR="001B3D5D" w:rsidRDefault="004D5502">
      <w:pPr>
        <w:pStyle w:val="MELegal3"/>
      </w:pPr>
      <w:r>
        <w:t>by monthly instalments in advance;</w:t>
      </w:r>
    </w:p>
    <w:p w:rsidR="001B3D5D" w:rsidRDefault="004D5502">
      <w:pPr>
        <w:pStyle w:val="MELegal3"/>
      </w:pPr>
      <w:r>
        <w:t>on the first day of each month during the Term commencing on the Commencement Date;</w:t>
      </w:r>
    </w:p>
    <w:p w:rsidR="001B3D5D" w:rsidRDefault="004D5502">
      <w:pPr>
        <w:pStyle w:val="MELegal3"/>
      </w:pPr>
      <w:r>
        <w:t>with each payment equal to one twelfth of the Rent (excluding the first and last payment which must be proportion</w:t>
      </w:r>
      <w:r>
        <w:t>ate, if necessary); and</w:t>
      </w:r>
    </w:p>
    <w:p w:rsidR="001B3D5D" w:rsidRDefault="004D5502">
      <w:pPr>
        <w:pStyle w:val="MELegal3"/>
      </w:pPr>
      <w:r>
        <w:t>to the Landlord:</w:t>
      </w:r>
    </w:p>
    <w:p w:rsidR="001B3D5D" w:rsidRDefault="004D5502">
      <w:pPr>
        <w:pStyle w:val="MELegal4"/>
      </w:pPr>
      <w:r>
        <w:t xml:space="preserve">at the address set out in the Information table or to any other payee or address as notified in writing by the Landlord to the Tenant; and </w:t>
      </w:r>
    </w:p>
    <w:p w:rsidR="001B3D5D" w:rsidRDefault="004D5502">
      <w:pPr>
        <w:pStyle w:val="MELegal4"/>
      </w:pPr>
      <w:r>
        <w:t xml:space="preserve">in the manner contemplated under clause </w:t>
      </w:r>
      <w:r>
        <w:fldChar w:fldCharType="begin"/>
      </w:r>
      <w:r>
        <w:instrText xml:space="preserve"> REF _Ref337114056 \r \h </w:instrText>
      </w:r>
      <w:r>
        <w:fldChar w:fldCharType="separate"/>
      </w:r>
      <w:r>
        <w:t>5.6(c)</w:t>
      </w:r>
      <w:r>
        <w:fldChar w:fldCharType="end"/>
      </w:r>
      <w:r>
        <w:t>.</w:t>
      </w:r>
    </w:p>
    <w:p w:rsidR="001B3D5D" w:rsidRDefault="004D5502">
      <w:pPr>
        <w:pStyle w:val="MELegal2"/>
      </w:pPr>
      <w:bookmarkStart w:id="111" w:name="_Toc340496384"/>
      <w:bookmarkStart w:id="112" w:name="_Toc340496387"/>
      <w:bookmarkStart w:id="113" w:name="_Toc315885210"/>
      <w:bookmarkStart w:id="114" w:name="_Toc340496399"/>
      <w:bookmarkStart w:id="115" w:name="_Toc340496408"/>
      <w:bookmarkStart w:id="116" w:name="_Toc345578197"/>
      <w:bookmarkStart w:id="117" w:name="_Toc411870610"/>
      <w:bookmarkStart w:id="118" w:name="_Toc333488519"/>
      <w:bookmarkStart w:id="119" w:name="_Toc157499923"/>
      <w:bookmarkStart w:id="120" w:name="_Toc158003561"/>
      <w:bookmarkStart w:id="121" w:name="_Toc334110390"/>
      <w:bookmarkEnd w:id="111"/>
      <w:bookmarkEnd w:id="112"/>
      <w:bookmarkEnd w:id="113"/>
      <w:bookmarkEnd w:id="114"/>
      <w:bookmarkEnd w:id="115"/>
      <w:r>
        <w:t>Other expenses</w:t>
      </w:r>
      <w:bookmarkEnd w:id="116"/>
      <w:bookmarkEnd w:id="117"/>
    </w:p>
    <w:p w:rsidR="001B3D5D" w:rsidRDefault="004D5502">
      <w:pPr>
        <w:ind w:left="680"/>
      </w:pPr>
      <w:r>
        <w:t>In addition to the Rent, the Tenant must pay all rates, taxes, charges, Costs and other expenses set out in Schedule 2 at the time and in the manner set out in Schedule 2.</w:t>
      </w:r>
    </w:p>
    <w:p w:rsidR="001B3D5D" w:rsidRDefault="004D5502">
      <w:pPr>
        <w:pStyle w:val="MELegal2"/>
      </w:pPr>
      <w:bookmarkStart w:id="122" w:name="_Toc345578198"/>
      <w:bookmarkStart w:id="123" w:name="_Toc411870611"/>
      <w:r>
        <w:t>Pay</w:t>
      </w:r>
      <w:r>
        <w:t>ment of Landlord's Costs</w:t>
      </w:r>
      <w:bookmarkEnd w:id="118"/>
      <w:bookmarkEnd w:id="122"/>
      <w:bookmarkEnd w:id="123"/>
      <w:r>
        <w:t xml:space="preserve"> </w:t>
      </w:r>
    </w:p>
    <w:p w:rsidR="001B3D5D" w:rsidRDefault="004D5502">
      <w:pPr>
        <w:keepNext/>
        <w:ind w:left="680"/>
      </w:pPr>
      <w:r>
        <w:t>The Tenant must pay on demand the Landlord's reasonable Costs of and incidental to:</w:t>
      </w:r>
    </w:p>
    <w:p w:rsidR="001B3D5D" w:rsidRDefault="004D5502">
      <w:pPr>
        <w:pStyle w:val="MELegal3"/>
      </w:pPr>
      <w:r>
        <w:t>any actual or proposed consent required under this lease;</w:t>
      </w:r>
    </w:p>
    <w:p w:rsidR="001B3D5D" w:rsidRDefault="004D5502">
      <w:pPr>
        <w:pStyle w:val="MELegal3"/>
      </w:pPr>
      <w:r>
        <w:t>any actual or proposed assignment or sub-letting of the Premises;</w:t>
      </w:r>
    </w:p>
    <w:p w:rsidR="001B3D5D" w:rsidRDefault="004D5502">
      <w:pPr>
        <w:pStyle w:val="MELegal3"/>
      </w:pPr>
      <w:r>
        <w:t>any actual or proposed</w:t>
      </w:r>
      <w:r>
        <w:t xml:space="preserve"> change, surrender or ending of this lease except at the end of the Term or where the change occurs at the Landlord's request;</w:t>
      </w:r>
    </w:p>
    <w:p w:rsidR="001B3D5D" w:rsidRDefault="004D5502">
      <w:pPr>
        <w:pStyle w:val="MELegal3"/>
      </w:pPr>
      <w:r>
        <w:t>the exercise or attempted exercise by the Landlord of any right or remedy against the Tenant; and</w:t>
      </w:r>
    </w:p>
    <w:p w:rsidR="001B3D5D" w:rsidRDefault="004D5502">
      <w:pPr>
        <w:pStyle w:val="MELegal3"/>
      </w:pPr>
      <w:r>
        <w:t>any breach of this lease by the</w:t>
      </w:r>
      <w:r>
        <w:t xml:space="preserve"> Tenant.</w:t>
      </w:r>
    </w:p>
    <w:p w:rsidR="001B3D5D" w:rsidRDefault="004D5502">
      <w:pPr>
        <w:pStyle w:val="MELegal2"/>
      </w:pPr>
      <w:bookmarkStart w:id="124" w:name="_Toc340496411"/>
      <w:bookmarkStart w:id="125" w:name="_Toc360548038"/>
      <w:bookmarkStart w:id="126" w:name="_Ref72118670"/>
      <w:bookmarkStart w:id="127" w:name="_Toc333488520"/>
      <w:bookmarkStart w:id="128" w:name="_Toc345578199"/>
      <w:bookmarkStart w:id="129" w:name="_Ref356987259"/>
      <w:bookmarkStart w:id="130" w:name="_Toc411870612"/>
      <w:bookmarkEnd w:id="124"/>
      <w:bookmarkEnd w:id="125"/>
      <w:r>
        <w:lastRenderedPageBreak/>
        <w:t>Interest on overdue money</w:t>
      </w:r>
      <w:bookmarkEnd w:id="126"/>
      <w:bookmarkEnd w:id="127"/>
      <w:bookmarkEnd w:id="128"/>
      <w:bookmarkEnd w:id="129"/>
      <w:bookmarkEnd w:id="130"/>
    </w:p>
    <w:p w:rsidR="001B3D5D" w:rsidRDefault="004D5502">
      <w:pPr>
        <w:pStyle w:val="MELegal3"/>
      </w:pPr>
      <w:bookmarkStart w:id="131" w:name="_Ref72118640"/>
      <w:r>
        <w:t>The Landlord may require payment of interest on any money due but unpaid by the Tenant to the Landlord, despite any failure by the Landlord to have previously required payment of interest.</w:t>
      </w:r>
      <w:bookmarkEnd w:id="131"/>
    </w:p>
    <w:p w:rsidR="001B3D5D" w:rsidRDefault="004D5502">
      <w:pPr>
        <w:pStyle w:val="MELegal3"/>
      </w:pPr>
      <w:r>
        <w:t>If the Landlord requires payment</w:t>
      </w:r>
      <w:r>
        <w:t xml:space="preserve"> of interest under clause </w:t>
      </w:r>
      <w:r>
        <w:fldChar w:fldCharType="begin"/>
      </w:r>
      <w:r>
        <w:instrText xml:space="preserve"> REF _Ref72118640 \w \h  \* MERGEFORMAT </w:instrText>
      </w:r>
      <w:r>
        <w:fldChar w:fldCharType="separate"/>
      </w:r>
      <w:r>
        <w:t>5.5(a)</w:t>
      </w:r>
      <w:r>
        <w:fldChar w:fldCharType="end"/>
      </w:r>
      <w:r>
        <w:t>, interest will be calculated at the Specified Rate on the amount due but unpaid daily from and including the due dat</w:t>
      </w:r>
      <w:r>
        <w:t>e for payment up to and including the date on which the Landlord receives payment of the amount.</w:t>
      </w:r>
    </w:p>
    <w:p w:rsidR="001B3D5D" w:rsidRDefault="004D5502">
      <w:pPr>
        <w:pStyle w:val="MELegal2"/>
      </w:pPr>
      <w:bookmarkStart w:id="132" w:name="_Toc333488521"/>
      <w:bookmarkStart w:id="133" w:name="_Ref337114055"/>
      <w:bookmarkStart w:id="134" w:name="_Ref337452271"/>
      <w:bookmarkStart w:id="135" w:name="_Toc345578200"/>
      <w:bookmarkStart w:id="136" w:name="_Toc411870613"/>
      <w:r>
        <w:t>Time and method for payments</w:t>
      </w:r>
      <w:bookmarkEnd w:id="132"/>
      <w:bookmarkEnd w:id="133"/>
      <w:bookmarkEnd w:id="134"/>
      <w:bookmarkEnd w:id="135"/>
      <w:bookmarkEnd w:id="136"/>
    </w:p>
    <w:p w:rsidR="001B3D5D" w:rsidRDefault="004D5502">
      <w:pPr>
        <w:pStyle w:val="MELegal3"/>
      </w:pPr>
      <w:bookmarkStart w:id="137" w:name="_Ref72118659"/>
      <w:r>
        <w:t>Where a time for payment is not specified in this lease, an amount payable by the Tenant to the Landlord must be paid to the Landl</w:t>
      </w:r>
      <w:r>
        <w:t>ord within 10 Business Days of the Landlord giving a notice to the Tenant requiring payment.</w:t>
      </w:r>
      <w:bookmarkEnd w:id="137"/>
    </w:p>
    <w:p w:rsidR="001B3D5D" w:rsidRDefault="004D5502">
      <w:pPr>
        <w:pStyle w:val="MELegal3"/>
      </w:pPr>
      <w:r>
        <w:t>If the Tenant fails to pay an amount in accordance with clause </w:t>
      </w:r>
      <w:r>
        <w:fldChar w:fldCharType="begin"/>
      </w:r>
      <w:r>
        <w:instrText xml:space="preserve"> REF _Ref72118659 \w \h  \* MERGEFORMAT </w:instrText>
      </w:r>
      <w:r>
        <w:fldChar w:fldCharType="separate"/>
      </w:r>
      <w:r>
        <w:t>5.6(a)</w:t>
      </w:r>
      <w:r>
        <w:fldChar w:fldCharType="end"/>
      </w:r>
      <w:r>
        <w:t>, the Landlord may require the Tenant to pay interest under clause </w:t>
      </w:r>
      <w:r>
        <w:fldChar w:fldCharType="begin"/>
      </w:r>
      <w:r>
        <w:instrText xml:space="preserve"> REF _Ref356987259 \r \h </w:instrText>
      </w:r>
      <w:r>
        <w:fldChar w:fldCharType="separate"/>
      </w:r>
      <w:r>
        <w:t>5.5</w:t>
      </w:r>
      <w:r>
        <w:fldChar w:fldCharType="end"/>
      </w:r>
      <w:r>
        <w:t xml:space="preserve"> on that amount from:</w:t>
      </w:r>
    </w:p>
    <w:p w:rsidR="001B3D5D" w:rsidRDefault="004D5502">
      <w:pPr>
        <w:pStyle w:val="MELegal4"/>
      </w:pPr>
      <w:r>
        <w:t xml:space="preserve">where the Tenant can demonstrate to the Landlord that the </w:t>
      </w:r>
      <w:r>
        <w:t xml:space="preserve">delay has arisen as a result of a fault in a financial system outside the Tenant's control, the date that is 3 Business Days after the date of the notice; or </w:t>
      </w:r>
    </w:p>
    <w:p w:rsidR="001B3D5D" w:rsidRDefault="004D5502">
      <w:pPr>
        <w:pStyle w:val="MELegal4"/>
      </w:pPr>
      <w:r>
        <w:t>in all other cases, the date of the notice.</w:t>
      </w:r>
    </w:p>
    <w:p w:rsidR="001B3D5D" w:rsidRDefault="004D5502">
      <w:pPr>
        <w:pStyle w:val="MELegal3"/>
      </w:pPr>
      <w:bookmarkStart w:id="138" w:name="_Ref337114056"/>
      <w:bookmarkStart w:id="139" w:name="_Ref153255554"/>
      <w:bookmarkStart w:id="140" w:name="_Ref315788002"/>
      <w:bookmarkStart w:id="141" w:name="_Toc315788621"/>
      <w:bookmarkStart w:id="142" w:name="_Ref311704311"/>
      <w:bookmarkEnd w:id="119"/>
      <w:bookmarkEnd w:id="120"/>
      <w:bookmarkEnd w:id="121"/>
      <w:r>
        <w:t>The Tenant must make payments under this lease to the</w:t>
      </w:r>
      <w:r>
        <w:t xml:space="preserve"> Landlord (or to a person nominated by the Landlord in a notice to the Tenant) by electronic transfer or by any other method the Landlord reasonably requires.</w:t>
      </w:r>
      <w:bookmarkEnd w:id="138"/>
    </w:p>
    <w:p w:rsidR="001B3D5D" w:rsidRDefault="004D5502">
      <w:pPr>
        <w:pStyle w:val="MELegal3"/>
      </w:pPr>
      <w:r>
        <w:t>The Tenant must make payments under this lease without any deduction, withholding, set-off or cou</w:t>
      </w:r>
      <w:r>
        <w:t>nterclaim.</w:t>
      </w:r>
    </w:p>
    <w:p w:rsidR="001B3D5D" w:rsidRDefault="004D5502">
      <w:pPr>
        <w:pStyle w:val="MELegal2"/>
      </w:pPr>
      <w:bookmarkStart w:id="143" w:name="_Toc145757178"/>
      <w:bookmarkStart w:id="144" w:name="_Toc315852042"/>
      <w:bookmarkStart w:id="145" w:name="_Toc334110394"/>
      <w:bookmarkStart w:id="146" w:name="_Toc345578201"/>
      <w:bookmarkStart w:id="147" w:name="_Toc411870614"/>
      <w:r>
        <w:t>Adjustment for mistake</w:t>
      </w:r>
      <w:bookmarkEnd w:id="143"/>
      <w:bookmarkEnd w:id="144"/>
      <w:bookmarkEnd w:id="145"/>
      <w:bookmarkEnd w:id="146"/>
      <w:bookmarkEnd w:id="147"/>
    </w:p>
    <w:p w:rsidR="001B3D5D" w:rsidRDefault="004D5502">
      <w:pPr>
        <w:ind w:left="680"/>
      </w:pPr>
      <w:r>
        <w:t>If the Tenant pays an amount and it is found later that the amount was not correct, then even if the Landlord has given the Tenant a receipt, the Tenant must pay to the Landlord (or the Landlord must credit the Tenant with</w:t>
      </w:r>
      <w:r>
        <w:t>) the difference between what the Tenant has paid and what the Tenant should have paid on demand.</w:t>
      </w:r>
    </w:p>
    <w:p w:rsidR="001B3D5D" w:rsidRDefault="004D5502">
      <w:pPr>
        <w:pStyle w:val="MELegal2"/>
      </w:pPr>
      <w:bookmarkStart w:id="148" w:name="_Toc145757179"/>
      <w:bookmarkStart w:id="149" w:name="_Toc315852043"/>
      <w:bookmarkStart w:id="150" w:name="_Toc334110395"/>
      <w:bookmarkStart w:id="151" w:name="_Toc345578202"/>
      <w:bookmarkStart w:id="152" w:name="_Toc411870615"/>
      <w:r>
        <w:t>Landlord need not make demand</w:t>
      </w:r>
      <w:bookmarkEnd w:id="148"/>
      <w:bookmarkEnd w:id="149"/>
      <w:bookmarkEnd w:id="150"/>
      <w:bookmarkEnd w:id="151"/>
      <w:bookmarkEnd w:id="152"/>
    </w:p>
    <w:p w:rsidR="001B3D5D" w:rsidRDefault="004D5502">
      <w:pPr>
        <w:ind w:left="680"/>
      </w:pPr>
      <w:r>
        <w:t>The Landlord need not make demand for any amount payable by the Tenant unless this lease says that demand must be made.</w:t>
      </w:r>
    </w:p>
    <w:p w:rsidR="001B3D5D" w:rsidRDefault="004D5502">
      <w:pPr>
        <w:pStyle w:val="MELegal1"/>
      </w:pPr>
      <w:bookmarkStart w:id="153" w:name="_Toc334110398"/>
      <w:bookmarkStart w:id="154" w:name="_Ref339636922"/>
      <w:bookmarkStart w:id="155" w:name="_Ref340494013"/>
      <w:bookmarkStart w:id="156" w:name="_Toc345578203"/>
      <w:bookmarkStart w:id="157" w:name="_Ref360700622"/>
      <w:bookmarkStart w:id="158" w:name="_Toc411870616"/>
      <w:r>
        <w:t>Rent Rev</w:t>
      </w:r>
      <w:r>
        <w:t>iew</w:t>
      </w:r>
      <w:bookmarkEnd w:id="139"/>
      <w:bookmarkEnd w:id="153"/>
      <w:bookmarkEnd w:id="154"/>
      <w:bookmarkEnd w:id="155"/>
      <w:bookmarkEnd w:id="156"/>
      <w:bookmarkEnd w:id="157"/>
      <w:bookmarkEnd w:id="158"/>
      <w:r>
        <w:t xml:space="preserve"> </w:t>
      </w:r>
      <w:bookmarkEnd w:id="140"/>
      <w:bookmarkEnd w:id="141"/>
    </w:p>
    <w:p w:rsidR="001B3D5D" w:rsidRDefault="004D5502">
      <w:pPr>
        <w:pStyle w:val="MELegal2"/>
      </w:pPr>
      <w:bookmarkStart w:id="159" w:name="_Ref339356179"/>
      <w:bookmarkStart w:id="160" w:name="_Toc345578204"/>
      <w:bookmarkStart w:id="161" w:name="_Toc411870617"/>
      <w:r>
        <w:t>CPI</w:t>
      </w:r>
      <w:bookmarkEnd w:id="159"/>
      <w:bookmarkEnd w:id="160"/>
      <w:bookmarkEnd w:id="161"/>
    </w:p>
    <w:p w:rsidR="001B3D5D" w:rsidRDefault="004D5502">
      <w:pPr>
        <w:pStyle w:val="MELegal3"/>
      </w:pPr>
      <w:r>
        <w:t>On and from each CPI Review Date the Rent is changed by the CPI Rate.</w:t>
      </w:r>
    </w:p>
    <w:p w:rsidR="001B3D5D" w:rsidRDefault="004D5502">
      <w:pPr>
        <w:pStyle w:val="MELegal3"/>
      </w:pPr>
      <w:r>
        <w:t>If the Rent to apply from any CPI Review Date is not determined before that date, then:</w:t>
      </w:r>
    </w:p>
    <w:p w:rsidR="001B3D5D" w:rsidRDefault="004D5502">
      <w:pPr>
        <w:pStyle w:val="MELegal4"/>
      </w:pPr>
      <w:r>
        <w:t>until it is determined, the Tenant must continue paying instalments of Rent at the rate a</w:t>
      </w:r>
      <w:r>
        <w:t>pplicable before the relevant CPI Review Date; and</w:t>
      </w:r>
    </w:p>
    <w:p w:rsidR="001B3D5D" w:rsidRDefault="004D5502">
      <w:pPr>
        <w:pStyle w:val="MELegal4"/>
      </w:pPr>
      <w:r>
        <w:t>within 14 days after the reviewed Rent is determined, the Tenant must pay any shortfall for the period from the relevant CPI Review Date until the date on which the next instalment of Rent is due to be pai</w:t>
      </w:r>
      <w:r>
        <w:t>d.</w:t>
      </w:r>
    </w:p>
    <w:p w:rsidR="001B3D5D" w:rsidRDefault="004D5502">
      <w:pPr>
        <w:pStyle w:val="MELegal2"/>
      </w:pPr>
      <w:bookmarkStart w:id="162" w:name="_Toc315788623"/>
      <w:bookmarkStart w:id="163" w:name="_Toc315885221"/>
      <w:bookmarkStart w:id="164" w:name="_Toc334110400"/>
      <w:bookmarkStart w:id="165" w:name="_Toc345578205"/>
      <w:bookmarkStart w:id="166" w:name="_Ref349291734"/>
      <w:bookmarkStart w:id="167" w:name="_Toc411870618"/>
      <w:r>
        <w:lastRenderedPageBreak/>
        <w:t xml:space="preserve">Rent </w:t>
      </w:r>
      <w:bookmarkEnd w:id="162"/>
      <w:r>
        <w:t>minimum increase</w:t>
      </w:r>
      <w:bookmarkEnd w:id="163"/>
      <w:bookmarkEnd w:id="164"/>
      <w:bookmarkEnd w:id="165"/>
      <w:bookmarkEnd w:id="166"/>
      <w:bookmarkEnd w:id="167"/>
      <w:r>
        <w:t xml:space="preserve"> </w:t>
      </w:r>
    </w:p>
    <w:p w:rsidR="001B3D5D" w:rsidRDefault="004D5502">
      <w:pPr>
        <w:ind w:left="680"/>
      </w:pPr>
      <w:r>
        <w:t>Despite clause </w:t>
      </w:r>
      <w:r>
        <w:fldChar w:fldCharType="begin"/>
      </w:r>
      <w:r>
        <w:instrText xml:space="preserve"> REF _Ref339356179 \r \h  \* MERGEFORMAT </w:instrText>
      </w:r>
      <w:r>
        <w:fldChar w:fldCharType="separate"/>
      </w:r>
      <w:r>
        <w:t>6.1</w:t>
      </w:r>
      <w:r>
        <w:fldChar w:fldCharType="end"/>
      </w:r>
      <w:r>
        <w:t>, following the CPI Review Date the Rent must not be less than 102.5% of the Rent payable immediately be</w:t>
      </w:r>
      <w:r>
        <w:t xml:space="preserve">fore the relevant CPI Review Date. </w:t>
      </w:r>
    </w:p>
    <w:p w:rsidR="001B3D5D" w:rsidRDefault="004D5502">
      <w:pPr>
        <w:pStyle w:val="MELegal1"/>
      </w:pPr>
      <w:bookmarkStart w:id="168" w:name="_Toc356911666"/>
      <w:bookmarkStart w:id="169" w:name="_Toc356911667"/>
      <w:bookmarkStart w:id="170" w:name="_Toc356911668"/>
      <w:bookmarkStart w:id="171" w:name="_Toc334110401"/>
      <w:bookmarkStart w:id="172" w:name="_Ref339356138"/>
      <w:bookmarkStart w:id="173" w:name="_Ref340477527"/>
      <w:bookmarkStart w:id="174" w:name="_Ref341089355"/>
      <w:bookmarkStart w:id="175" w:name="_Toc345578206"/>
      <w:bookmarkStart w:id="176" w:name="_Toc411870619"/>
      <w:bookmarkEnd w:id="168"/>
      <w:bookmarkEnd w:id="169"/>
      <w:bookmarkEnd w:id="170"/>
      <w:r>
        <w:t>Market Rent Review</w:t>
      </w:r>
      <w:bookmarkEnd w:id="142"/>
      <w:bookmarkEnd w:id="171"/>
      <w:bookmarkEnd w:id="172"/>
      <w:bookmarkEnd w:id="173"/>
      <w:bookmarkEnd w:id="174"/>
      <w:bookmarkEnd w:id="175"/>
      <w:bookmarkEnd w:id="176"/>
      <w:r>
        <w:t xml:space="preserve"> </w:t>
      </w:r>
    </w:p>
    <w:p w:rsidR="001B3D5D" w:rsidRDefault="004D5502">
      <w:pPr>
        <w:pStyle w:val="MELegal2"/>
      </w:pPr>
      <w:bookmarkStart w:id="177" w:name="_Toc334110402"/>
      <w:bookmarkStart w:id="178" w:name="_Toc345578207"/>
      <w:bookmarkStart w:id="179" w:name="_Toc411870620"/>
      <w:r>
        <w:t>Market Rent Review</w:t>
      </w:r>
      <w:bookmarkEnd w:id="177"/>
      <w:bookmarkEnd w:id="178"/>
      <w:bookmarkEnd w:id="179"/>
    </w:p>
    <w:p w:rsidR="001B3D5D" w:rsidRDefault="004D5502">
      <w:pPr>
        <w:ind w:left="680"/>
      </w:pPr>
      <w:bookmarkStart w:id="180" w:name="_Ref311704194"/>
      <w:r>
        <w:t xml:space="preserve">The Rent is to be reviewed on each Market Review Date in accordance with clauses </w:t>
      </w:r>
      <w:r>
        <w:fldChar w:fldCharType="begin"/>
      </w:r>
      <w:r>
        <w:instrText xml:space="preserve"> REF _Ref311704171 \w \h  \* MERGEFORMAT </w:instrText>
      </w:r>
      <w:r>
        <w:fldChar w:fldCharType="separate"/>
      </w:r>
      <w:r>
        <w:t>7.2</w:t>
      </w:r>
      <w:r>
        <w:fldChar w:fldCharType="end"/>
      </w:r>
      <w:r>
        <w:t xml:space="preserve"> to </w:t>
      </w:r>
      <w:r>
        <w:fldChar w:fldCharType="begin"/>
      </w:r>
      <w:r>
        <w:instrText xml:space="preserve"> REF _Ref311704199 \r \h </w:instrText>
      </w:r>
      <w:r>
        <w:fldChar w:fldCharType="separate"/>
      </w:r>
      <w:r>
        <w:t>7.6</w:t>
      </w:r>
      <w:r>
        <w:fldChar w:fldCharType="end"/>
      </w:r>
      <w:r>
        <w:t>.</w:t>
      </w:r>
      <w:bookmarkEnd w:id="180"/>
    </w:p>
    <w:p w:rsidR="001B3D5D" w:rsidRDefault="004D5502">
      <w:pPr>
        <w:pStyle w:val="MELegal2"/>
      </w:pPr>
      <w:bookmarkStart w:id="181" w:name="_Ref311704171"/>
      <w:bookmarkStart w:id="182" w:name="_Toc334110403"/>
      <w:bookmarkStart w:id="183" w:name="_Toc345578208"/>
      <w:bookmarkStart w:id="184" w:name="_Toc411870621"/>
      <w:r>
        <w:t>Either party may initiate Market Review</w:t>
      </w:r>
      <w:bookmarkEnd w:id="181"/>
      <w:bookmarkEnd w:id="182"/>
      <w:bookmarkEnd w:id="183"/>
      <w:bookmarkEnd w:id="184"/>
    </w:p>
    <w:p w:rsidR="001B3D5D" w:rsidRDefault="004D5502">
      <w:pPr>
        <w:ind w:left="680"/>
      </w:pPr>
      <w:r>
        <w:t xml:space="preserve">In this clause, </w:t>
      </w:r>
      <w:r>
        <w:rPr>
          <w:b/>
        </w:rPr>
        <w:t>Review Period</w:t>
      </w:r>
      <w:r>
        <w:t xml:space="preserve"> means the period following each Market Review Date until the next Review Date or until the end of this lease.</w:t>
      </w:r>
    </w:p>
    <w:p w:rsidR="001B3D5D" w:rsidRDefault="004D5502">
      <w:pPr>
        <w:ind w:left="680"/>
      </w:pPr>
      <w:r>
        <w:t>The review</w:t>
      </w:r>
      <w:r>
        <w:t xml:space="preserve"> procedure on each Market Review Date is as follows:</w:t>
      </w:r>
    </w:p>
    <w:p w:rsidR="001B3D5D" w:rsidRDefault="004D5502">
      <w:pPr>
        <w:pStyle w:val="MELegal3"/>
      </w:pPr>
      <w:r>
        <w:t xml:space="preserve">the Landlord or the Tenant may initiate a review by giving the other party written notice stating the current market rent which it proposes as the rent for the Review Period. If the other party does not </w:t>
      </w:r>
      <w:r>
        <w:t>object in writing to the proposed rent within 28 days, it becomes the Rent for the Review Period;</w:t>
      </w:r>
    </w:p>
    <w:p w:rsidR="001B3D5D" w:rsidRDefault="004D5502">
      <w:pPr>
        <w:pStyle w:val="MELegal3"/>
      </w:pPr>
      <w:bookmarkStart w:id="185" w:name="_Ref315814504"/>
      <w:r>
        <w:t xml:space="preserve">if the party that receives the notice serves on the party initiating the review an objection to the proposed rent within 28 days and the parties do not agree </w:t>
      </w:r>
      <w:r>
        <w:t>on the rent within 40 days after the objection is served, and then either party may request the President of the Australian Property Institute – Victorian Division, to appoint a Valuer to determine the current market rent;</w:t>
      </w:r>
      <w:bookmarkEnd w:id="185"/>
    </w:p>
    <w:p w:rsidR="001B3D5D" w:rsidRDefault="004D5502">
      <w:pPr>
        <w:pStyle w:val="MELegal3"/>
      </w:pPr>
      <w:bookmarkStart w:id="186" w:name="_Ref311704290"/>
      <w:r>
        <w:t>in determining the current market</w:t>
      </w:r>
      <w:r>
        <w:t xml:space="preserve"> rent for the Premises, the Valuer must:</w:t>
      </w:r>
      <w:bookmarkEnd w:id="186"/>
    </w:p>
    <w:p w:rsidR="001B3D5D" w:rsidRDefault="004D5502">
      <w:pPr>
        <w:pStyle w:val="MELegal4"/>
      </w:pPr>
      <w:r>
        <w:t xml:space="preserve">consider any written submission made by the parties which must be submitted to the Valuer within 28 days of the parties being informed of the Valuer's appointment; </w:t>
      </w:r>
    </w:p>
    <w:p w:rsidR="001B3D5D" w:rsidRDefault="004D5502">
      <w:pPr>
        <w:pStyle w:val="MELegal4"/>
      </w:pPr>
      <w:bookmarkStart w:id="187" w:name="_Ref337117753"/>
      <w:r>
        <w:t>complete the determination within 60 days of recei</w:t>
      </w:r>
      <w:r>
        <w:t>pt of submissions from the parties and provide a written report to the Tenant and the Landlord which clearly outlines the basis and reasoning of the determination;</w:t>
      </w:r>
      <w:bookmarkEnd w:id="187"/>
      <w:r>
        <w:t xml:space="preserve"> </w:t>
      </w:r>
    </w:p>
    <w:p w:rsidR="001B3D5D" w:rsidRDefault="004D5502">
      <w:pPr>
        <w:pStyle w:val="MELegal4"/>
      </w:pPr>
      <w:r>
        <w:t xml:space="preserve">determine the current market rent as an expert; </w:t>
      </w:r>
    </w:p>
    <w:p w:rsidR="001B3D5D" w:rsidRDefault="004D5502">
      <w:pPr>
        <w:pStyle w:val="MELegal4"/>
      </w:pPr>
      <w:r>
        <w:t>assume that the Premises is available to b</w:t>
      </w:r>
      <w:r>
        <w:t xml:space="preserve">e leased on the same conditions as those contained in this lease, including any options for renewal and assuming a sitting tenant; </w:t>
      </w:r>
    </w:p>
    <w:p w:rsidR="001B3D5D" w:rsidRDefault="004D5502">
      <w:pPr>
        <w:pStyle w:val="MELegal4"/>
      </w:pPr>
      <w:r>
        <w:t xml:space="preserve">take into account the conditions of this lease including the Permitted Use, assuming the Tenant has met all the obligations </w:t>
      </w:r>
      <w:r>
        <w:t xml:space="preserve">under this lease; </w:t>
      </w:r>
    </w:p>
    <w:p w:rsidR="001B3D5D" w:rsidRDefault="004D5502">
      <w:pPr>
        <w:pStyle w:val="MELegal4"/>
      </w:pPr>
      <w:r>
        <w:t xml:space="preserve">ignore the Tenant's Fixtures and all improvements made by the Tenant to the Premises at the Tenant's Cost; </w:t>
      </w:r>
    </w:p>
    <w:p w:rsidR="001B3D5D" w:rsidRDefault="004D5502">
      <w:pPr>
        <w:pStyle w:val="MELegal4"/>
      </w:pPr>
      <w:r>
        <w:t xml:space="preserve">ignore the goodwill of the Tenant's business; </w:t>
      </w:r>
    </w:p>
    <w:p w:rsidR="001B3D5D" w:rsidRDefault="004D5502">
      <w:pPr>
        <w:pStyle w:val="MELegal4"/>
      </w:pPr>
      <w:r>
        <w:t xml:space="preserve">take into account current market rent for comparable premises; </w:t>
      </w:r>
    </w:p>
    <w:p w:rsidR="001B3D5D" w:rsidRDefault="004D5502">
      <w:pPr>
        <w:pStyle w:val="MELegal4"/>
      </w:pPr>
      <w:r>
        <w:t>disregard any ince</w:t>
      </w:r>
      <w:r>
        <w:t xml:space="preserve">ntives in comparable rental evidence; </w:t>
      </w:r>
    </w:p>
    <w:p w:rsidR="001B3D5D" w:rsidRDefault="004D5502">
      <w:pPr>
        <w:pStyle w:val="MELegal4"/>
      </w:pPr>
      <w:r>
        <w:t xml:space="preserve">where the Premises comprises more than one warehouse within the Warehouse Land, assess the rent on a warehouse by warehouse basis; </w:t>
      </w:r>
    </w:p>
    <w:p w:rsidR="001B3D5D" w:rsidRDefault="004D5502">
      <w:pPr>
        <w:pStyle w:val="MELegal4"/>
      </w:pPr>
      <w:r>
        <w:lastRenderedPageBreak/>
        <w:t>have regard to any services made available to the Tenant by the Landlord in respect o</w:t>
      </w:r>
      <w:r>
        <w:t xml:space="preserve">f the Warehousing Complex or the Warehouse Land (for example waste removal, security and other similar services); and  </w:t>
      </w:r>
    </w:p>
    <w:p w:rsidR="001B3D5D" w:rsidRDefault="004D5502">
      <w:pPr>
        <w:pStyle w:val="MELegal4"/>
      </w:pPr>
      <w:r>
        <w:t xml:space="preserve">have regard to the Tenant's rights to use the Licensed Area; and </w:t>
      </w:r>
    </w:p>
    <w:p w:rsidR="001B3D5D" w:rsidRDefault="004D5502">
      <w:pPr>
        <w:pStyle w:val="MELegal3"/>
      </w:pPr>
      <w:r>
        <w:t>if no determination has been made within 60 days of the receipt of sub</w:t>
      </w:r>
      <w:r>
        <w:t>missions as provided for in clause </w:t>
      </w:r>
      <w:r>
        <w:fldChar w:fldCharType="begin"/>
      </w:r>
      <w:r>
        <w:instrText xml:space="preserve"> REF _Ref337117753 \w \h  \* MERGEFORMAT </w:instrText>
      </w:r>
      <w:r>
        <w:fldChar w:fldCharType="separate"/>
      </w:r>
      <w:r>
        <w:t>7.2(c)(ii)</w:t>
      </w:r>
      <w:r>
        <w:fldChar w:fldCharType="end"/>
      </w:r>
      <w:r>
        <w:t>, the parties may request the President of the Australian Property Institute – Victorian Division to a</w:t>
      </w:r>
      <w:r>
        <w:t>ppoint another Valuer in accordance with clause </w:t>
      </w:r>
      <w:r>
        <w:fldChar w:fldCharType="begin"/>
      </w:r>
      <w:r>
        <w:instrText xml:space="preserve"> REF _Ref311704171 \r \h  \* MERGEFORMAT </w:instrText>
      </w:r>
      <w:r>
        <w:fldChar w:fldCharType="separate"/>
      </w:r>
      <w:r>
        <w:t>7.2</w:t>
      </w:r>
      <w:r>
        <w:fldChar w:fldCharType="end"/>
      </w:r>
      <w:r>
        <w:fldChar w:fldCharType="begin"/>
      </w:r>
      <w:r>
        <w:instrText xml:space="preserve"> REF _Ref315814504 \r \h  \* MERGEFORMAT </w:instrText>
      </w:r>
      <w:r>
        <w:fldChar w:fldCharType="separate"/>
      </w:r>
      <w:r>
        <w:t>(b)</w:t>
      </w:r>
      <w:r>
        <w:fldChar w:fldCharType="end"/>
      </w:r>
      <w:r>
        <w:t xml:space="preserve">. </w:t>
      </w:r>
    </w:p>
    <w:p w:rsidR="001B3D5D" w:rsidRDefault="004D5502">
      <w:pPr>
        <w:pStyle w:val="MELegal2"/>
      </w:pPr>
      <w:bookmarkStart w:id="188" w:name="_Ref311704176"/>
      <w:bookmarkStart w:id="189" w:name="_Toc334110404"/>
      <w:bookmarkStart w:id="190" w:name="_Toc345578209"/>
      <w:bookmarkStart w:id="191" w:name="_Toc411870622"/>
      <w:r>
        <w:t>Determination binding</w:t>
      </w:r>
      <w:bookmarkEnd w:id="188"/>
      <w:bookmarkEnd w:id="189"/>
      <w:bookmarkEnd w:id="190"/>
      <w:bookmarkEnd w:id="191"/>
    </w:p>
    <w:p w:rsidR="001B3D5D" w:rsidRDefault="004D5502">
      <w:pPr>
        <w:ind w:left="680"/>
      </w:pPr>
      <w:r>
        <w:t>The Valuer's determination binds both parties.</w:t>
      </w:r>
    </w:p>
    <w:p w:rsidR="001B3D5D" w:rsidRDefault="004D5502">
      <w:pPr>
        <w:pStyle w:val="MELegal2"/>
      </w:pPr>
      <w:bookmarkStart w:id="192" w:name="_Toc334110405"/>
      <w:bookmarkStart w:id="193" w:name="_Toc345578210"/>
      <w:bookmarkStart w:id="194" w:name="_Toc411870623"/>
      <w:r>
        <w:t>Costs of determination</w:t>
      </w:r>
      <w:bookmarkEnd w:id="192"/>
      <w:bookmarkEnd w:id="193"/>
      <w:bookmarkEnd w:id="194"/>
    </w:p>
    <w:p w:rsidR="001B3D5D" w:rsidRDefault="004D5502">
      <w:pPr>
        <w:ind w:left="680"/>
      </w:pPr>
      <w:r>
        <w:t>The Landlord and the Tenant must bear equally the Valuer's fee for making the determination. If either pays more than half the fee, the differenc</w:t>
      </w:r>
      <w:r>
        <w:t>e may be recovered from the other.</w:t>
      </w:r>
    </w:p>
    <w:p w:rsidR="001B3D5D" w:rsidRDefault="004D5502">
      <w:pPr>
        <w:pStyle w:val="MELegal2"/>
      </w:pPr>
      <w:bookmarkStart w:id="195" w:name="_Toc334110406"/>
      <w:bookmarkStart w:id="196" w:name="_Toc345578211"/>
      <w:bookmarkStart w:id="197" w:name="_Toc411870624"/>
      <w:r>
        <w:t>Payments until determination is made</w:t>
      </w:r>
      <w:bookmarkEnd w:id="195"/>
      <w:bookmarkEnd w:id="196"/>
      <w:bookmarkEnd w:id="197"/>
    </w:p>
    <w:p w:rsidR="001B3D5D" w:rsidRDefault="004D5502">
      <w:pPr>
        <w:ind w:left="680"/>
      </w:pPr>
      <w:r>
        <w:t xml:space="preserve">Until the determination is made by the Valuer, the Tenant must continue to pay the same Rent as was payable immediately before the relevant Market Review Date.  Within 7 days of being </w:t>
      </w:r>
      <w:r>
        <w:t>informed of the Valuer's determination, the parties must make any necessary adjustments.</w:t>
      </w:r>
    </w:p>
    <w:p w:rsidR="001B3D5D" w:rsidRDefault="004D5502">
      <w:pPr>
        <w:pStyle w:val="MELegal2"/>
      </w:pPr>
      <w:bookmarkStart w:id="198" w:name="_Ref311704199"/>
      <w:bookmarkStart w:id="199" w:name="_Toc334110407"/>
      <w:bookmarkStart w:id="200" w:name="_Toc345578212"/>
      <w:bookmarkStart w:id="201" w:name="_Toc411870625"/>
      <w:r>
        <w:t>Rent minimum increase</w:t>
      </w:r>
      <w:bookmarkEnd w:id="198"/>
      <w:bookmarkEnd w:id="199"/>
      <w:bookmarkEnd w:id="200"/>
      <w:bookmarkEnd w:id="201"/>
    </w:p>
    <w:p w:rsidR="001B3D5D" w:rsidRDefault="004D5502">
      <w:pPr>
        <w:ind w:left="680"/>
      </w:pPr>
      <w:r>
        <w:t>Despite the other provisions of this clause </w:t>
      </w:r>
      <w:r>
        <w:fldChar w:fldCharType="begin"/>
      </w:r>
      <w:r>
        <w:instrText xml:space="preserve"> REF _Ref340477527 \r \h </w:instrText>
      </w:r>
      <w:r>
        <w:fldChar w:fldCharType="separate"/>
      </w:r>
      <w:r>
        <w:t>7</w:t>
      </w:r>
      <w:r>
        <w:fldChar w:fldCharType="end"/>
      </w:r>
      <w:r>
        <w:t>, the Re</w:t>
      </w:r>
      <w:r>
        <w:t xml:space="preserve">nt from the relevant Market Review Date must not be less than 102.5% of the Rent payable immediately before the relevant Market Review Date. </w:t>
      </w:r>
    </w:p>
    <w:p w:rsidR="001B3D5D" w:rsidRDefault="004D5502">
      <w:pPr>
        <w:pStyle w:val="MELegal1"/>
      </w:pPr>
      <w:bookmarkStart w:id="202" w:name="_Toc341249226"/>
      <w:bookmarkStart w:id="203" w:name="_Toc360548053"/>
      <w:bookmarkStart w:id="204" w:name="_Ref320027130"/>
      <w:bookmarkStart w:id="205" w:name="_Ref320027135"/>
      <w:bookmarkStart w:id="206" w:name="_Ref320027283"/>
      <w:bookmarkStart w:id="207" w:name="_Toc334110408"/>
      <w:bookmarkStart w:id="208" w:name="_Toc345578213"/>
      <w:bookmarkStart w:id="209" w:name="_Ref360547834"/>
      <w:bookmarkStart w:id="210" w:name="_Ref360547841"/>
      <w:bookmarkStart w:id="211" w:name="_Ref360547880"/>
      <w:bookmarkStart w:id="212" w:name="_Toc411870626"/>
      <w:bookmarkEnd w:id="202"/>
      <w:bookmarkEnd w:id="203"/>
      <w:r>
        <w:t>Use of Premises</w:t>
      </w:r>
      <w:bookmarkEnd w:id="204"/>
      <w:bookmarkEnd w:id="205"/>
      <w:bookmarkEnd w:id="206"/>
      <w:bookmarkEnd w:id="207"/>
      <w:bookmarkEnd w:id="208"/>
      <w:bookmarkEnd w:id="209"/>
      <w:bookmarkEnd w:id="210"/>
      <w:bookmarkEnd w:id="211"/>
      <w:bookmarkEnd w:id="212"/>
    </w:p>
    <w:p w:rsidR="001B3D5D" w:rsidRDefault="004D5502">
      <w:pPr>
        <w:pStyle w:val="MELegal2"/>
      </w:pPr>
      <w:bookmarkStart w:id="213" w:name="_Ref467658545"/>
      <w:bookmarkStart w:id="214" w:name="_Ref467658554"/>
      <w:bookmarkStart w:id="215" w:name="_Toc334110409"/>
      <w:bookmarkStart w:id="216" w:name="_Toc345578214"/>
      <w:bookmarkStart w:id="217" w:name="_Toc411870627"/>
      <w:r>
        <w:t>Permitted use</w:t>
      </w:r>
      <w:bookmarkEnd w:id="213"/>
      <w:bookmarkEnd w:id="214"/>
      <w:bookmarkEnd w:id="215"/>
      <w:bookmarkEnd w:id="216"/>
      <w:bookmarkEnd w:id="217"/>
    </w:p>
    <w:p w:rsidR="001B3D5D" w:rsidRDefault="004D5502">
      <w:pPr>
        <w:pStyle w:val="MELegal3"/>
      </w:pPr>
      <w:r>
        <w:t xml:space="preserve">The Tenant must use the Premises only for the Permitted Use. </w:t>
      </w:r>
    </w:p>
    <w:p w:rsidR="001B3D5D" w:rsidRDefault="004D5502">
      <w:pPr>
        <w:pStyle w:val="MELegal3"/>
      </w:pPr>
      <w:r>
        <w:t xml:space="preserve">The Tenant must not use the Premises for purposes, or permit others to use the Premises for purposes, which are not permitted under the Planning Scheme or which are Prohibited Businesses.  </w:t>
      </w:r>
    </w:p>
    <w:p w:rsidR="001B3D5D" w:rsidRDefault="004D5502">
      <w:pPr>
        <w:pStyle w:val="MELegal3"/>
      </w:pPr>
      <w:r>
        <w:t xml:space="preserve">Subject to the terms of this lease, the Tenant may continue to use and occupy the Premises for the Term. </w:t>
      </w:r>
    </w:p>
    <w:p w:rsidR="001B3D5D" w:rsidRDefault="004D5502">
      <w:pPr>
        <w:pStyle w:val="MELegal3"/>
      </w:pPr>
      <w:r>
        <w:t xml:space="preserve">The Tenant must allow the Landlord to exercise its rights or comply with its obligations under and in accordance with the terms of the Head-Lease. </w:t>
      </w:r>
    </w:p>
    <w:p w:rsidR="001B3D5D" w:rsidRDefault="004D5502">
      <w:pPr>
        <w:pStyle w:val="MELegal3"/>
      </w:pPr>
      <w:r>
        <w:t>If</w:t>
      </w:r>
      <w:r>
        <w:t xml:space="preserve"> a consent, licence or approval is required from an Authority for the Premises to be used for the Permitted Use, for the Tenant to carry out any work in the Premises or in relation to the Premises, the Warehouse Land or their use or occupation, the Tenant </w:t>
      </w:r>
      <w:r>
        <w:t>must, at the Tenant's own expense:</w:t>
      </w:r>
    </w:p>
    <w:p w:rsidR="001B3D5D" w:rsidRDefault="004D5502">
      <w:pPr>
        <w:pStyle w:val="MELegal4"/>
      </w:pPr>
      <w:r>
        <w:t>obtain and hold at all times that consent, licence or approval; and</w:t>
      </w:r>
    </w:p>
    <w:p w:rsidR="001B3D5D" w:rsidRDefault="004D5502">
      <w:pPr>
        <w:pStyle w:val="MELegal4"/>
      </w:pPr>
      <w:r>
        <w:t>promptly make all applications and take all steps necessary to obtain that consent, licence or approval (but not so as to restrict or otherwise affect th</w:t>
      </w:r>
      <w:r>
        <w:t>e use of any other part of the Warehousing Complex).</w:t>
      </w:r>
    </w:p>
    <w:p w:rsidR="001B3D5D" w:rsidRDefault="004D5502">
      <w:pPr>
        <w:pStyle w:val="MELegal3"/>
      </w:pPr>
      <w:r>
        <w:t>The Tenant must</w:t>
      </w:r>
      <w:bookmarkStart w:id="218" w:name="_Toc349912005"/>
      <w:bookmarkEnd w:id="218"/>
      <w:r>
        <w:t xml:space="preserve"> not trade from the Premises. </w:t>
      </w:r>
      <w:bookmarkStart w:id="219" w:name="_Toc349912007"/>
      <w:bookmarkStart w:id="220" w:name="_Toc333488529"/>
      <w:bookmarkStart w:id="221" w:name="_Toc345578215"/>
      <w:bookmarkEnd w:id="219"/>
    </w:p>
    <w:p w:rsidR="001B3D5D" w:rsidRDefault="004D5502">
      <w:pPr>
        <w:pStyle w:val="MELegal2"/>
      </w:pPr>
      <w:bookmarkStart w:id="222" w:name="_Toc411870628"/>
      <w:r>
        <w:lastRenderedPageBreak/>
        <w:t>No undesirable or illegal use</w:t>
      </w:r>
      <w:bookmarkEnd w:id="220"/>
      <w:bookmarkEnd w:id="221"/>
      <w:bookmarkEnd w:id="222"/>
    </w:p>
    <w:p w:rsidR="001B3D5D" w:rsidRDefault="004D5502">
      <w:pPr>
        <w:pStyle w:val="MELegal3"/>
      </w:pPr>
      <w:r>
        <w:t>The Tenant must use the Premises in accordance with all Laws.</w:t>
      </w:r>
    </w:p>
    <w:p w:rsidR="001B3D5D" w:rsidRDefault="004D5502">
      <w:pPr>
        <w:pStyle w:val="MELegal3"/>
      </w:pPr>
      <w:r>
        <w:t>The Tenant must not:</w:t>
      </w:r>
    </w:p>
    <w:p w:rsidR="001B3D5D" w:rsidRDefault="004D5502">
      <w:pPr>
        <w:pStyle w:val="MELegal4"/>
      </w:pPr>
      <w:r>
        <w:t>use the Premises or any other part of the Wa</w:t>
      </w:r>
      <w:r>
        <w:t>rehouse Land or the Market Land for residential accommodation or for any noxious, noisy, illegal or offensive act, business or use; or</w:t>
      </w:r>
    </w:p>
    <w:p w:rsidR="001B3D5D" w:rsidRDefault="004D5502">
      <w:pPr>
        <w:pStyle w:val="MELegal4"/>
      </w:pPr>
      <w:r>
        <w:t>do or omit to do any thing in the Premises or any other part of the Warehouse Land or the Market Land which causes or may</w:t>
      </w:r>
      <w:r>
        <w:t xml:space="preserve"> cause nuisance, damage or disturbance to any person who uses the Warehouse Land or the Market Land or any occupier or owner of nearby property.</w:t>
      </w:r>
    </w:p>
    <w:p w:rsidR="001B3D5D" w:rsidRDefault="004D5502">
      <w:pPr>
        <w:pStyle w:val="MELegal2"/>
      </w:pPr>
      <w:bookmarkStart w:id="223" w:name="_Toc333488531"/>
      <w:bookmarkStart w:id="224" w:name="_Toc345578216"/>
      <w:bookmarkStart w:id="225" w:name="_Toc411870629"/>
      <w:r>
        <w:t>No signs</w:t>
      </w:r>
      <w:bookmarkEnd w:id="223"/>
      <w:bookmarkEnd w:id="224"/>
      <w:bookmarkEnd w:id="225"/>
    </w:p>
    <w:p w:rsidR="001B3D5D" w:rsidRDefault="004D5502">
      <w:pPr>
        <w:ind w:left="680"/>
      </w:pPr>
      <w:r>
        <w:t>The Tenant must not without the Landlord's consent (which will not be unreasonably withheld) exhibit o</w:t>
      </w:r>
      <w:r>
        <w:t>n the exterior of the Premises any sign, light, embellishment, advertisement, name, logo or notice.</w:t>
      </w:r>
    </w:p>
    <w:p w:rsidR="001B3D5D" w:rsidRDefault="004D5502">
      <w:pPr>
        <w:pStyle w:val="MELegal2"/>
      </w:pPr>
      <w:bookmarkStart w:id="226" w:name="_Toc333488534"/>
      <w:bookmarkStart w:id="227" w:name="_Toc345578217"/>
      <w:bookmarkStart w:id="228" w:name="_Toc411870630"/>
      <w:r>
        <w:t>Infectious disease in Premises</w:t>
      </w:r>
      <w:bookmarkEnd w:id="226"/>
      <w:bookmarkEnd w:id="227"/>
      <w:bookmarkEnd w:id="228"/>
    </w:p>
    <w:p w:rsidR="001B3D5D" w:rsidRDefault="004D5502">
      <w:pPr>
        <w:keepNext/>
        <w:ind w:left="680"/>
      </w:pPr>
      <w:r>
        <w:t>If an infectious disease occurs in the Premises that must be notified to an Authority under any Law, the Tenant must promptly</w:t>
      </w:r>
      <w:r>
        <w:t xml:space="preserve"> give notice of that occurrence:</w:t>
      </w:r>
    </w:p>
    <w:p w:rsidR="001B3D5D" w:rsidRDefault="004D5502">
      <w:pPr>
        <w:pStyle w:val="MELegal3"/>
      </w:pPr>
      <w:r>
        <w:t>to every relevant Authority, and must comply with all Requirements of every relevant Authority to the satisfaction of the Authority; and</w:t>
      </w:r>
    </w:p>
    <w:p w:rsidR="001B3D5D" w:rsidRDefault="004D5502">
      <w:pPr>
        <w:pStyle w:val="MELegal3"/>
      </w:pPr>
      <w:r>
        <w:t>to the Landlord, and must permit the Landlord to enter the Premises to fumigate or dis</w:t>
      </w:r>
      <w:r>
        <w:t>infect them, and pay the Landlord all Costs the Landlord incurs in doing this.</w:t>
      </w:r>
    </w:p>
    <w:p w:rsidR="001B3D5D" w:rsidRDefault="004D5502">
      <w:pPr>
        <w:pStyle w:val="MELegal2"/>
      </w:pPr>
      <w:bookmarkStart w:id="229" w:name="_Toc333488535"/>
      <w:bookmarkStart w:id="230" w:name="_Toc345578218"/>
      <w:bookmarkStart w:id="231" w:name="_Toc411870631"/>
      <w:r>
        <w:t xml:space="preserve">Tenant to give notice of </w:t>
      </w:r>
      <w:bookmarkEnd w:id="229"/>
      <w:r>
        <w:t>damage</w:t>
      </w:r>
      <w:bookmarkEnd w:id="230"/>
      <w:bookmarkEnd w:id="231"/>
    </w:p>
    <w:p w:rsidR="001B3D5D" w:rsidRDefault="004D5502">
      <w:pPr>
        <w:keepNext/>
        <w:ind w:left="680"/>
      </w:pPr>
      <w:r>
        <w:t>The Tenant must:</w:t>
      </w:r>
    </w:p>
    <w:p w:rsidR="001B3D5D" w:rsidRDefault="004D5502">
      <w:pPr>
        <w:pStyle w:val="MELegal3"/>
      </w:pPr>
      <w:r>
        <w:t>promptly give written notice to the Landlord of:</w:t>
      </w:r>
    </w:p>
    <w:p w:rsidR="001B3D5D" w:rsidRDefault="004D5502">
      <w:pPr>
        <w:pStyle w:val="MELegal4"/>
      </w:pPr>
      <w:r>
        <w:t>damage to the Premises or of any defect in the structure of, or any Services (i</w:t>
      </w:r>
      <w:r>
        <w:t>ncluding the Essential Safety Measures) to the Premises, the Warehouse Land or the Market Land; and</w:t>
      </w:r>
    </w:p>
    <w:p w:rsidR="001B3D5D" w:rsidRDefault="004D5502">
      <w:pPr>
        <w:pStyle w:val="MELegal4"/>
      </w:pPr>
      <w:r>
        <w:t>service by any Authority of a notice or order affecting the Premises; and</w:t>
      </w:r>
    </w:p>
    <w:p w:rsidR="001B3D5D" w:rsidRDefault="004D5502">
      <w:pPr>
        <w:pStyle w:val="MELegal3"/>
      </w:pPr>
      <w:r>
        <w:t>promptly give written notice to the Landlord of:</w:t>
      </w:r>
    </w:p>
    <w:p w:rsidR="001B3D5D" w:rsidRDefault="004D5502">
      <w:pPr>
        <w:pStyle w:val="MELegal4"/>
      </w:pPr>
      <w:r>
        <w:t>any hazards threatening or affect</w:t>
      </w:r>
      <w:r>
        <w:t>ing the Premises, the Warehousing Complex, the Warehouse Land or the Market Land; and</w:t>
      </w:r>
    </w:p>
    <w:p w:rsidR="001B3D5D" w:rsidRDefault="004D5502">
      <w:pPr>
        <w:pStyle w:val="MELegal4"/>
      </w:pPr>
      <w:r>
        <w:t>any hazards arising from the Premises; and</w:t>
      </w:r>
    </w:p>
    <w:p w:rsidR="001B3D5D" w:rsidRDefault="004D5502">
      <w:pPr>
        <w:pStyle w:val="MELegal4"/>
      </w:pPr>
      <w:r>
        <w:t>any emergency repairs and maintenance (such as power failures, burst water pipes and unsafe structures).</w:t>
      </w:r>
    </w:p>
    <w:p w:rsidR="001B3D5D" w:rsidRDefault="004D5502">
      <w:pPr>
        <w:pStyle w:val="MELegal2"/>
      </w:pPr>
      <w:bookmarkStart w:id="232" w:name="_Toc333488536"/>
      <w:bookmarkStart w:id="233" w:name="_Toc345578219"/>
      <w:bookmarkStart w:id="234" w:name="_Toc411870632"/>
      <w:r>
        <w:t>Use of facilities</w:t>
      </w:r>
      <w:bookmarkEnd w:id="232"/>
      <w:bookmarkEnd w:id="233"/>
      <w:bookmarkEnd w:id="234"/>
    </w:p>
    <w:p w:rsidR="001B3D5D" w:rsidRDefault="004D5502">
      <w:pPr>
        <w:ind w:left="680"/>
      </w:pPr>
      <w:r>
        <w:t xml:space="preserve">The </w:t>
      </w:r>
      <w:r>
        <w:t>Tenant must not use the plumbing, electrical or other facilities in the Warehousing Complex for any purpose except those for which they were constructed or provided.</w:t>
      </w:r>
    </w:p>
    <w:p w:rsidR="001B3D5D" w:rsidRDefault="004D5502">
      <w:pPr>
        <w:pStyle w:val="MELegal2"/>
      </w:pPr>
      <w:bookmarkStart w:id="235" w:name="_Toc333488537"/>
      <w:bookmarkStart w:id="236" w:name="_Toc345578220"/>
      <w:bookmarkStart w:id="237" w:name="_Toc411870633"/>
      <w:r>
        <w:t>No rodents or animals</w:t>
      </w:r>
      <w:bookmarkEnd w:id="235"/>
      <w:bookmarkEnd w:id="236"/>
      <w:bookmarkEnd w:id="237"/>
    </w:p>
    <w:p w:rsidR="001B3D5D" w:rsidRDefault="004D5502">
      <w:pPr>
        <w:ind w:left="680"/>
      </w:pPr>
      <w:r>
        <w:t xml:space="preserve">The Tenant must keep the Premises free of rodents, vermin, insects, </w:t>
      </w:r>
      <w:r>
        <w:t>birds and animals and must, if the Landlord requires this, take part in and pay for the Cost of any pest control treatment the Landlord arranges for the Premises.</w:t>
      </w:r>
    </w:p>
    <w:p w:rsidR="001B3D5D" w:rsidRDefault="004D5502">
      <w:pPr>
        <w:pStyle w:val="MELegal2"/>
      </w:pPr>
      <w:bookmarkStart w:id="238" w:name="_Toc333488540"/>
      <w:bookmarkStart w:id="239" w:name="_Toc345578221"/>
      <w:bookmarkStart w:id="240" w:name="_Toc411870634"/>
      <w:bookmarkStart w:id="241" w:name="_Toc334110417"/>
      <w:r>
        <w:lastRenderedPageBreak/>
        <w:t>No storage of flammable substances</w:t>
      </w:r>
      <w:bookmarkEnd w:id="238"/>
      <w:bookmarkEnd w:id="239"/>
      <w:bookmarkEnd w:id="240"/>
    </w:p>
    <w:p w:rsidR="001B3D5D" w:rsidRDefault="004D5502">
      <w:pPr>
        <w:ind w:left="680"/>
      </w:pPr>
      <w:r>
        <w:t>The Tenant must not (except as required for the conduct of</w:t>
      </w:r>
      <w:r>
        <w:t xml:space="preserve"> the Tenant's business) store or use chemicals, inflammable liquids, acetylene, gas or volatile or explosive oils or substances in the Premises.  </w:t>
      </w:r>
    </w:p>
    <w:p w:rsidR="001B3D5D" w:rsidRDefault="004D5502">
      <w:pPr>
        <w:pStyle w:val="MELegal2"/>
      </w:pPr>
      <w:bookmarkStart w:id="242" w:name="_Toc333488541"/>
      <w:bookmarkStart w:id="243" w:name="_Toc345578222"/>
      <w:bookmarkStart w:id="244" w:name="_Toc411870635"/>
      <w:r>
        <w:t>Compliance with fire regulations</w:t>
      </w:r>
      <w:bookmarkEnd w:id="242"/>
      <w:bookmarkEnd w:id="243"/>
      <w:bookmarkEnd w:id="244"/>
    </w:p>
    <w:p w:rsidR="001B3D5D" w:rsidRDefault="004D5502">
      <w:pPr>
        <w:ind w:left="680"/>
      </w:pPr>
      <w:r>
        <w:t>The Tenant must comply with all insurance, sprinkler and security and fire a</w:t>
      </w:r>
      <w:r>
        <w:t>larm regulations concerning the Tenant's Fixtures.</w:t>
      </w:r>
    </w:p>
    <w:p w:rsidR="001B3D5D" w:rsidRDefault="004D5502">
      <w:pPr>
        <w:pStyle w:val="MELegal2"/>
      </w:pPr>
      <w:bookmarkStart w:id="245" w:name="_Toc333488542"/>
      <w:bookmarkStart w:id="246" w:name="_Toc345578223"/>
      <w:bookmarkStart w:id="247" w:name="_Toc411870636"/>
      <w:r>
        <w:t>Fire or emergency drills</w:t>
      </w:r>
      <w:bookmarkEnd w:id="245"/>
      <w:bookmarkEnd w:id="246"/>
      <w:bookmarkEnd w:id="247"/>
    </w:p>
    <w:p w:rsidR="001B3D5D" w:rsidRDefault="004D5502">
      <w:pPr>
        <w:pStyle w:val="MELegal3"/>
      </w:pPr>
      <w:r>
        <w:t>The Tenant must comply with all fire and emergency training programmes and drills of which the Landlord gives at least 2 Business Days notice to the Tenant.</w:t>
      </w:r>
    </w:p>
    <w:p w:rsidR="001B3D5D" w:rsidRDefault="004D5502">
      <w:pPr>
        <w:pStyle w:val="MELegal3"/>
      </w:pPr>
      <w:r>
        <w:t xml:space="preserve">The Tenant must ensure </w:t>
      </w:r>
      <w:r>
        <w:t>that the Tenant's Agents are made fully aware of all safety and emergency procedures for the Warehouse Land.</w:t>
      </w:r>
    </w:p>
    <w:p w:rsidR="001B3D5D" w:rsidRDefault="004D5502">
      <w:pPr>
        <w:pStyle w:val="MELegal2"/>
      </w:pPr>
      <w:bookmarkStart w:id="248" w:name="_Toc345578224"/>
      <w:bookmarkStart w:id="249" w:name="_Toc411870637"/>
      <w:r>
        <w:t>Environmental obligations</w:t>
      </w:r>
      <w:bookmarkEnd w:id="241"/>
      <w:bookmarkEnd w:id="248"/>
      <w:bookmarkEnd w:id="249"/>
    </w:p>
    <w:p w:rsidR="001B3D5D" w:rsidRDefault="004D5502">
      <w:pPr>
        <w:ind w:left="709"/>
        <w:rPr>
          <w:sz w:val="2"/>
          <w:szCs w:val="2"/>
        </w:rPr>
      </w:pPr>
      <w:r>
        <w:t>The Tenant must, and must ensure that the Tenant's Agents, take all reasonable steps in accordance with the Environmental</w:t>
      </w:r>
      <w:r>
        <w:t xml:space="preserve"> Management Plan and in accordance with the Landlord's waste management policies (to the extent that the Tenant has been provided with the waste management policies).</w:t>
      </w:r>
    </w:p>
    <w:p w:rsidR="001B3D5D" w:rsidRDefault="004D5502">
      <w:pPr>
        <w:pStyle w:val="MELegal2"/>
      </w:pPr>
      <w:bookmarkStart w:id="250" w:name="_Toc345578225"/>
      <w:bookmarkStart w:id="251" w:name="_Toc411870638"/>
      <w:bookmarkStart w:id="252" w:name="_Ref311705982"/>
      <w:r>
        <w:t>Overloading Systems</w:t>
      </w:r>
      <w:bookmarkEnd w:id="250"/>
      <w:bookmarkEnd w:id="251"/>
    </w:p>
    <w:p w:rsidR="001B3D5D" w:rsidRDefault="004D5502">
      <w:pPr>
        <w:pStyle w:val="MELegal3"/>
      </w:pPr>
      <w:r>
        <w:t>The Tenant must not bring onto or allow to be installed in the Premis</w:t>
      </w:r>
      <w:r>
        <w:t xml:space="preserve">es any machinery, plant or equipment which will result in the maximum capacity of the systems within the Premises as set out in </w:t>
      </w:r>
      <w:r>
        <w:fldChar w:fldCharType="begin"/>
      </w:r>
      <w:r>
        <w:instrText xml:space="preserve"> REF _Ref315882461 \r \h  \* MERGEFORMAT </w:instrText>
      </w:r>
      <w:r>
        <w:fldChar w:fldCharType="separate"/>
      </w:r>
      <w:r>
        <w:t xml:space="preserve">Item 10 </w:t>
      </w:r>
      <w:r>
        <w:fldChar w:fldCharType="end"/>
      </w:r>
      <w:r>
        <w:t xml:space="preserve"> to be exceeded, without the Landlord's prior written consent.</w:t>
      </w:r>
    </w:p>
    <w:p w:rsidR="001B3D5D" w:rsidRDefault="004D5502">
      <w:pPr>
        <w:pStyle w:val="MELegal3"/>
      </w:pPr>
      <w:r>
        <w:t>The Tenant will be responsible for any damage caused to the Landlord's Fixtures or the Warehousing Complex arising from the Tenant exceeding the maximum capacity of the systems within the Premi</w:t>
      </w:r>
      <w:r>
        <w:t>ses.</w:t>
      </w:r>
    </w:p>
    <w:p w:rsidR="001B3D5D" w:rsidRDefault="004D5502">
      <w:pPr>
        <w:pStyle w:val="MELegal2"/>
      </w:pPr>
      <w:bookmarkStart w:id="253" w:name="_Toc345578226"/>
      <w:bookmarkStart w:id="254" w:name="_Toc411870639"/>
      <w:r>
        <w:t>Overloading Floors and Roofs</w:t>
      </w:r>
      <w:bookmarkEnd w:id="253"/>
      <w:bookmarkEnd w:id="254"/>
    </w:p>
    <w:p w:rsidR="001B3D5D" w:rsidRDefault="004D5502">
      <w:pPr>
        <w:pStyle w:val="MELegal3"/>
      </w:pPr>
      <w:r>
        <w:t xml:space="preserve">The Tenant must not bring onto or allow to be brought onto the Warehousing Complex or the Premises any heavy machinery, plant or equipment or Tenant's Fixtures which exceed the load limits for the Premises as set out in </w:t>
      </w:r>
      <w:r>
        <w:fldChar w:fldCharType="begin"/>
      </w:r>
      <w:r>
        <w:instrText xml:space="preserve"> R</w:instrText>
      </w:r>
      <w:r>
        <w:instrText xml:space="preserve">EF _Ref339640270 \r \h </w:instrText>
      </w:r>
      <w:r>
        <w:fldChar w:fldCharType="separate"/>
      </w:r>
      <w:r>
        <w:t xml:space="preserve">Item 11 </w:t>
      </w:r>
      <w:r>
        <w:fldChar w:fldCharType="end"/>
      </w:r>
      <w:r>
        <w:t>, without the Landlord's prior writ</w:t>
      </w:r>
      <w:r>
        <w:softHyphen/>
        <w:t xml:space="preserve">ten consent.  </w:t>
      </w:r>
    </w:p>
    <w:p w:rsidR="001B3D5D" w:rsidRDefault="004D5502">
      <w:pPr>
        <w:pStyle w:val="MELegal3"/>
      </w:pPr>
      <w:r>
        <w:t>The Tenant will be responsible for any damage caused to the Warehousing Complex or the Premises arising fro</w:t>
      </w:r>
      <w:r>
        <w:t>m the Tenant bringing any heavy machinery, plant or equipment or Tenant's Fixtures onto or removing them from the Warehousing Complex or the Premises.</w:t>
      </w:r>
    </w:p>
    <w:p w:rsidR="001B3D5D" w:rsidRDefault="004D5502">
      <w:pPr>
        <w:pStyle w:val="MELegal2"/>
      </w:pPr>
      <w:bookmarkStart w:id="255" w:name="_Toc372199862"/>
      <w:bookmarkStart w:id="256" w:name="_Ref374105521"/>
      <w:bookmarkStart w:id="257" w:name="_Toc411870640"/>
      <w:r>
        <w:t>Liability for customers</w:t>
      </w:r>
      <w:bookmarkEnd w:id="255"/>
      <w:bookmarkEnd w:id="256"/>
      <w:bookmarkEnd w:id="257"/>
    </w:p>
    <w:p w:rsidR="001B3D5D" w:rsidRDefault="004D5502">
      <w:pPr>
        <w:ind w:left="680"/>
      </w:pPr>
      <w:r>
        <w:t>Despite anything else in this lease, the Tenant acknowledges and agrees that:</w:t>
      </w:r>
    </w:p>
    <w:p w:rsidR="001B3D5D" w:rsidRDefault="004D5502">
      <w:pPr>
        <w:pStyle w:val="MELegal3"/>
      </w:pPr>
      <w:bookmarkStart w:id="258" w:name="_Ref374105522"/>
      <w:r>
        <w:t>the</w:t>
      </w:r>
      <w:r>
        <w:t xml:space="preserve"> Tenant must ensure that any potential or actual customers do not enter or remain on or in the Premises;</w:t>
      </w:r>
      <w:bookmarkEnd w:id="258"/>
      <w:r>
        <w:t xml:space="preserve"> and</w:t>
      </w:r>
    </w:p>
    <w:p w:rsidR="001B3D5D" w:rsidRDefault="004D5502">
      <w:pPr>
        <w:pStyle w:val="MELegal3"/>
      </w:pPr>
      <w:r>
        <w:t xml:space="preserve">despite clause </w:t>
      </w:r>
      <w:r>
        <w:fldChar w:fldCharType="begin"/>
      </w:r>
      <w:r>
        <w:instrText xml:space="preserve"> REF _Ref374105521 \r \h </w:instrText>
      </w:r>
      <w:r>
        <w:fldChar w:fldCharType="separate"/>
      </w:r>
      <w:r>
        <w:t>8.14</w:t>
      </w:r>
      <w:r>
        <w:fldChar w:fldCharType="end"/>
      </w:r>
      <w:r>
        <w:fldChar w:fldCharType="begin"/>
      </w:r>
      <w:r>
        <w:instrText xml:space="preserve"> REF _Ref374105522 \r \h </w:instrText>
      </w:r>
      <w:r>
        <w:fldChar w:fldCharType="separate"/>
      </w:r>
      <w:r>
        <w:t>(a)</w:t>
      </w:r>
      <w:r>
        <w:fldChar w:fldCharType="end"/>
      </w:r>
      <w:r>
        <w:t>, if any potential or actual customer enters or remains on or in the Premises:</w:t>
      </w:r>
    </w:p>
    <w:p w:rsidR="001B3D5D" w:rsidRDefault="004D5502">
      <w:pPr>
        <w:pStyle w:val="MELegal4"/>
      </w:pPr>
      <w:r>
        <w:t>for the period that the potential or actual customer remains on or in the Premises, the Tenant is responsible for the</w:t>
      </w:r>
      <w:r>
        <w:t xml:space="preserve"> safety and welfare of that potential or actual customer; and</w:t>
      </w:r>
    </w:p>
    <w:p w:rsidR="001B3D5D" w:rsidRDefault="004D5502">
      <w:pPr>
        <w:pStyle w:val="MELegal4"/>
      </w:pPr>
      <w:r>
        <w:lastRenderedPageBreak/>
        <w:t>to the extent that the potential or actual customer causes any damage to the Premises, the Tenant will be responsible for the repair or rectification of such damage.</w:t>
      </w:r>
    </w:p>
    <w:p w:rsidR="001B3D5D" w:rsidRDefault="004D5502">
      <w:pPr>
        <w:pStyle w:val="MELegal1"/>
      </w:pPr>
      <w:bookmarkStart w:id="259" w:name="_Toc340496440"/>
      <w:bookmarkStart w:id="260" w:name="_Ref342298861"/>
      <w:bookmarkStart w:id="261" w:name="_Ref342298874"/>
      <w:bookmarkStart w:id="262" w:name="_Toc345578227"/>
      <w:bookmarkStart w:id="263" w:name="_Toc411870641"/>
      <w:bookmarkEnd w:id="259"/>
      <w:r>
        <w:t>Repair and maintenance</w:t>
      </w:r>
      <w:bookmarkEnd w:id="260"/>
      <w:bookmarkEnd w:id="261"/>
      <w:bookmarkEnd w:id="262"/>
      <w:bookmarkEnd w:id="263"/>
    </w:p>
    <w:p w:rsidR="001B3D5D" w:rsidRDefault="004D5502">
      <w:pPr>
        <w:pStyle w:val="MELegal2"/>
      </w:pPr>
      <w:bookmarkStart w:id="264" w:name="_Ref72118722"/>
      <w:bookmarkStart w:id="265" w:name="_Ref72118730"/>
      <w:bookmarkStart w:id="266" w:name="_Ref72119179"/>
      <w:bookmarkStart w:id="267" w:name="_Toc333488550"/>
      <w:bookmarkStart w:id="268" w:name="_Toc345578228"/>
      <w:bookmarkStart w:id="269" w:name="_Toc411870642"/>
      <w:bookmarkStart w:id="270" w:name="_Ref271094706"/>
      <w:bookmarkStart w:id="271" w:name="_Toc334110422"/>
      <w:bookmarkEnd w:id="252"/>
      <w:r>
        <w:t>Maint</w:t>
      </w:r>
      <w:r>
        <w:t>enance of Premises</w:t>
      </w:r>
      <w:bookmarkEnd w:id="264"/>
      <w:bookmarkEnd w:id="265"/>
      <w:bookmarkEnd w:id="266"/>
      <w:bookmarkEnd w:id="267"/>
      <w:bookmarkEnd w:id="268"/>
      <w:bookmarkEnd w:id="269"/>
      <w:r>
        <w:t xml:space="preserve"> </w:t>
      </w:r>
    </w:p>
    <w:p w:rsidR="001B3D5D" w:rsidRDefault="004D5502">
      <w:pPr>
        <w:pStyle w:val="MELegal3"/>
      </w:pPr>
      <w:bookmarkStart w:id="272" w:name="_Ref72118713"/>
      <w:r>
        <w:t>The Tenant must:</w:t>
      </w:r>
      <w:bookmarkEnd w:id="272"/>
    </w:p>
    <w:p w:rsidR="001B3D5D" w:rsidRDefault="004D5502">
      <w:pPr>
        <w:pStyle w:val="MELegal4"/>
      </w:pPr>
      <w:r>
        <w:t>fully maintain, replace, repair and keep the Premises in good and substantial repair, working order and condition and to the same standard and condition it was in as at the earlier of:</w:t>
      </w:r>
    </w:p>
    <w:p w:rsidR="001B3D5D" w:rsidRDefault="004D5502">
      <w:pPr>
        <w:pStyle w:val="MELegal5"/>
      </w:pPr>
      <w:r>
        <w:t>the Commencement Date; and</w:t>
      </w:r>
    </w:p>
    <w:p w:rsidR="001B3D5D" w:rsidRDefault="004D5502">
      <w:pPr>
        <w:pStyle w:val="MELegal5"/>
      </w:pPr>
      <w:r>
        <w:t xml:space="preserve">the </w:t>
      </w:r>
      <w:r>
        <w:t>date that the Tenant first accessed the Premises; and</w:t>
      </w:r>
    </w:p>
    <w:p w:rsidR="001B3D5D" w:rsidRDefault="004D5502">
      <w:pPr>
        <w:pStyle w:val="MELegal4"/>
      </w:pPr>
      <w:r>
        <w:t>keep the Premises fitted out in accordance with and to the standard of plans, specifications and finishes previously approved by the Landlord.</w:t>
      </w:r>
    </w:p>
    <w:p w:rsidR="001B3D5D" w:rsidRDefault="004D5502">
      <w:pPr>
        <w:pStyle w:val="MELegal3"/>
      </w:pPr>
      <w:r>
        <w:t>The Tenant's obligations under clause </w:t>
      </w:r>
      <w:r>
        <w:fldChar w:fldCharType="begin"/>
      </w:r>
      <w:r>
        <w:instrText xml:space="preserve"> REF _Ref72118713 \</w:instrText>
      </w:r>
      <w:r>
        <w:instrText xml:space="preserve">w \h  \* MERGEFORMAT </w:instrText>
      </w:r>
      <w:r>
        <w:fldChar w:fldCharType="separate"/>
      </w:r>
      <w:r>
        <w:t>9.1(a)</w:t>
      </w:r>
      <w:r>
        <w:fldChar w:fldCharType="end"/>
      </w:r>
      <w:r>
        <w:t xml:space="preserve"> do not apply to:</w:t>
      </w:r>
    </w:p>
    <w:p w:rsidR="001B3D5D" w:rsidRDefault="004D5502">
      <w:pPr>
        <w:pStyle w:val="MELegal4"/>
      </w:pPr>
      <w:r>
        <w:t>the Landlord's Maintenance Items; or</w:t>
      </w:r>
    </w:p>
    <w:p w:rsidR="001B3D5D" w:rsidRDefault="004D5502">
      <w:pPr>
        <w:pStyle w:val="MELegal4"/>
      </w:pPr>
      <w:r>
        <w:t>reasonable wear and tear and damage by fire, flood, lightning, storm, tempest, earthquake, explosion, riot, ci</w:t>
      </w:r>
      <w:r>
        <w:t>vil commotion, act of God or war damage, except where any insurance money is not payable because of:</w:t>
      </w:r>
    </w:p>
    <w:p w:rsidR="001B3D5D" w:rsidRDefault="004D5502">
      <w:pPr>
        <w:pStyle w:val="MELegal5"/>
      </w:pPr>
      <w:r>
        <w:t>an act or omission by the Tenant; or</w:t>
      </w:r>
    </w:p>
    <w:p w:rsidR="001B3D5D" w:rsidRDefault="004D5502">
      <w:pPr>
        <w:pStyle w:val="MELegal5"/>
      </w:pPr>
      <w:r>
        <w:t>a breach by the Tenant of any of the provisions of this lease.</w:t>
      </w:r>
    </w:p>
    <w:p w:rsidR="001B3D5D" w:rsidRDefault="004D5502">
      <w:pPr>
        <w:pStyle w:val="MELegal3"/>
      </w:pPr>
      <w:bookmarkStart w:id="273" w:name="_Ref341281789"/>
      <w:r>
        <w:t>Despite the provisions of this clause </w:t>
      </w:r>
      <w:r>
        <w:fldChar w:fldCharType="begin"/>
      </w:r>
      <w:r>
        <w:instrText xml:space="preserve"> REF _Ref721187</w:instrText>
      </w:r>
      <w:r>
        <w:instrText xml:space="preserve">22 \w \h  \* MERGEFORMAT </w:instrText>
      </w:r>
      <w:r>
        <w:fldChar w:fldCharType="separate"/>
      </w:r>
      <w:r>
        <w:t>9.1</w:t>
      </w:r>
      <w:r>
        <w:fldChar w:fldCharType="end"/>
      </w:r>
      <w:r>
        <w:t xml:space="preserve"> and unless a provision in this lease expressly states otherwise, the Tenant is only obliged to do structural works or works of a capital nature including alterati</w:t>
      </w:r>
      <w:r>
        <w:t>ons, replacement, maintenance or repair to the Premises where those works are required because of:</w:t>
      </w:r>
      <w:bookmarkEnd w:id="273"/>
    </w:p>
    <w:p w:rsidR="001B3D5D" w:rsidRDefault="004D5502">
      <w:pPr>
        <w:pStyle w:val="MELegal4"/>
      </w:pPr>
      <w:r>
        <w:t>an act or omission by the Tenant;</w:t>
      </w:r>
    </w:p>
    <w:p w:rsidR="001B3D5D" w:rsidRDefault="004D5502">
      <w:pPr>
        <w:pStyle w:val="MELegal4"/>
      </w:pPr>
      <w:r>
        <w:t>a breach by the Tenant of a provision of this lease; or</w:t>
      </w:r>
    </w:p>
    <w:p w:rsidR="001B3D5D" w:rsidRDefault="004D5502">
      <w:pPr>
        <w:pStyle w:val="MELegal4"/>
      </w:pPr>
      <w:r>
        <w:t>the use or occupation of the Premises by the Tenant.</w:t>
      </w:r>
    </w:p>
    <w:p w:rsidR="001B3D5D" w:rsidRDefault="004D5502">
      <w:pPr>
        <w:pStyle w:val="MELegal2"/>
      </w:pPr>
      <w:bookmarkStart w:id="274" w:name="_Ref72118733"/>
      <w:bookmarkStart w:id="275" w:name="_Ref72119183"/>
      <w:bookmarkStart w:id="276" w:name="_Ref72119258"/>
      <w:bookmarkStart w:id="277" w:name="_Toc333488551"/>
      <w:bookmarkStart w:id="278" w:name="_Toc345578229"/>
      <w:bookmarkStart w:id="279" w:name="_Toc411870643"/>
      <w:r>
        <w:t>Maintenance of</w:t>
      </w:r>
      <w:r>
        <w:t xml:space="preserve"> Tenant's Fixtures</w:t>
      </w:r>
      <w:bookmarkEnd w:id="274"/>
      <w:bookmarkEnd w:id="275"/>
      <w:bookmarkEnd w:id="276"/>
      <w:bookmarkEnd w:id="277"/>
      <w:bookmarkEnd w:id="278"/>
      <w:bookmarkEnd w:id="279"/>
      <w:r>
        <w:t xml:space="preserve"> </w:t>
      </w:r>
    </w:p>
    <w:p w:rsidR="001B3D5D" w:rsidRDefault="004D5502">
      <w:pPr>
        <w:ind w:left="680"/>
      </w:pPr>
      <w:r>
        <w:t>The Tenant must fully maintain, repair and keep the Tenant's Fixtures in good and substantial repair, working order and condition.</w:t>
      </w:r>
    </w:p>
    <w:p w:rsidR="001B3D5D" w:rsidRDefault="004D5502">
      <w:pPr>
        <w:pStyle w:val="MELegal2"/>
      </w:pPr>
      <w:bookmarkStart w:id="280" w:name="_Toc333488552"/>
      <w:bookmarkStart w:id="281" w:name="_Toc345578230"/>
      <w:bookmarkStart w:id="282" w:name="_Toc411870644"/>
      <w:r>
        <w:t>Specific obligations</w:t>
      </w:r>
      <w:bookmarkEnd w:id="280"/>
      <w:bookmarkEnd w:id="281"/>
      <w:bookmarkEnd w:id="282"/>
      <w:r>
        <w:t xml:space="preserve"> </w:t>
      </w:r>
    </w:p>
    <w:p w:rsidR="001B3D5D" w:rsidRDefault="004D5502">
      <w:pPr>
        <w:pStyle w:val="MELegal3"/>
      </w:pPr>
      <w:r>
        <w:t>Without limiting clauses </w:t>
      </w:r>
      <w:r>
        <w:fldChar w:fldCharType="begin"/>
      </w:r>
      <w:r>
        <w:instrText xml:space="preserve"> REF _Ref72118730 \w \h  \* MERGEFORMAT </w:instrText>
      </w:r>
      <w:r>
        <w:fldChar w:fldCharType="separate"/>
      </w:r>
      <w:r>
        <w:t>9.1</w:t>
      </w:r>
      <w:r>
        <w:fldChar w:fldCharType="end"/>
      </w:r>
      <w:r>
        <w:t xml:space="preserve"> and </w:t>
      </w:r>
      <w:r>
        <w:fldChar w:fldCharType="begin"/>
      </w:r>
      <w:r>
        <w:instrText xml:space="preserve"> REF _Ref72118733 \w \h  \* MERGEFORMAT </w:instrText>
      </w:r>
      <w:r>
        <w:fldChar w:fldCharType="separate"/>
      </w:r>
      <w:r>
        <w:t>9.2</w:t>
      </w:r>
      <w:r>
        <w:fldChar w:fldCharType="end"/>
      </w:r>
      <w:r>
        <w:t xml:space="preserve"> but subject to the terms of this lease, the Tenant must, at the Tenant's expen</w:t>
      </w:r>
      <w:r>
        <w:t>se and to the Landlord's satisfaction:</w:t>
      </w:r>
    </w:p>
    <w:p w:rsidR="001B3D5D" w:rsidRDefault="004D5502">
      <w:pPr>
        <w:pStyle w:val="MELegal4"/>
      </w:pPr>
      <w:r>
        <w:rPr>
          <w:b/>
        </w:rPr>
        <w:t>cleaning</w:t>
      </w:r>
      <w:r>
        <w:t>: keep the Premises and the Tenant's Fixtures clean and free from dirt and rubbish;</w:t>
      </w:r>
    </w:p>
    <w:p w:rsidR="001B3D5D" w:rsidRDefault="004D5502">
      <w:pPr>
        <w:pStyle w:val="MELegal4"/>
      </w:pPr>
      <w:r>
        <w:rPr>
          <w:b/>
        </w:rPr>
        <w:t>waste:</w:t>
      </w:r>
      <w:r>
        <w:t xml:space="preserve"> ensure that the Tenant and the Tenant's Agents do not leave any waste in any part of the Warehousing Complex (other th</w:t>
      </w:r>
      <w:r>
        <w:t xml:space="preserve">an within the Premises or areas designated for the collection of waste); </w:t>
      </w:r>
    </w:p>
    <w:p w:rsidR="001B3D5D" w:rsidRDefault="004D5502">
      <w:pPr>
        <w:pStyle w:val="MELegal4"/>
      </w:pPr>
      <w:r>
        <w:rPr>
          <w:b/>
        </w:rPr>
        <w:lastRenderedPageBreak/>
        <w:t>replacement of breakages</w:t>
      </w:r>
      <w:r>
        <w:t>: promptly repair and replace (irrespective of the cause) all:</w:t>
      </w:r>
    </w:p>
    <w:p w:rsidR="001B3D5D" w:rsidRDefault="004D5502">
      <w:pPr>
        <w:pStyle w:val="MELegal5"/>
      </w:pPr>
      <w:r>
        <w:t>broken glass (including exterior display windows) with glass of at least the same quality; and</w:t>
      </w:r>
    </w:p>
    <w:p w:rsidR="001B3D5D" w:rsidRDefault="004D5502">
      <w:pPr>
        <w:pStyle w:val="MELegal5"/>
      </w:pPr>
      <w:r>
        <w:t>damaged lighting, electrical equipment (including light globes, starters for tubes and fluorescent tubes) and plumbing installed in the Premises; and</w:t>
      </w:r>
    </w:p>
    <w:p w:rsidR="001B3D5D" w:rsidRDefault="004D5502">
      <w:pPr>
        <w:pStyle w:val="MELegal4"/>
      </w:pPr>
      <w:r>
        <w:t>comply with Laws and Requirements: comply with all:</w:t>
      </w:r>
    </w:p>
    <w:p w:rsidR="001B3D5D" w:rsidRDefault="004D5502">
      <w:pPr>
        <w:pStyle w:val="MELegal5"/>
      </w:pPr>
      <w:r>
        <w:t>Laws which relate to this lease or the Premises, the P</w:t>
      </w:r>
      <w:r>
        <w:t>ermitted Use or the Tenant's business; and</w:t>
      </w:r>
    </w:p>
    <w:p w:rsidR="001B3D5D" w:rsidRDefault="004D5502">
      <w:pPr>
        <w:pStyle w:val="MELegal5"/>
      </w:pPr>
      <w:r>
        <w:t>Requirements, notices or orders of any relevant Authority in relation to the Premises, the Warehouse Land, the Market Land and its use and occupation.</w:t>
      </w:r>
    </w:p>
    <w:p w:rsidR="001B3D5D" w:rsidRDefault="004D5502">
      <w:pPr>
        <w:pStyle w:val="MELegal3"/>
      </w:pPr>
      <w:r>
        <w:t xml:space="preserve">The Landlord may, at the Tenant's cost, remove any waste left </w:t>
      </w:r>
      <w:r>
        <w:t xml:space="preserve">by the Tenant or the Tenant's Agents in any part of the Warehousing Complex (other than the Premises or areas designated for the collection of waste pursuant to the Operating Rules), </w:t>
      </w:r>
    </w:p>
    <w:p w:rsidR="001B3D5D" w:rsidRDefault="004D5502">
      <w:pPr>
        <w:pStyle w:val="MELegal3"/>
      </w:pPr>
      <w:r>
        <w:t>The Tenant acknowledges and agrees that:</w:t>
      </w:r>
    </w:p>
    <w:p w:rsidR="001B3D5D" w:rsidRDefault="004D5502">
      <w:pPr>
        <w:pStyle w:val="MELegal4"/>
      </w:pPr>
      <w:r>
        <w:t>the Landlord will use a CCTV sy</w:t>
      </w:r>
      <w:r>
        <w:t>stem to determine who deposited waste in the Warehousing Complex; and</w:t>
      </w:r>
    </w:p>
    <w:p w:rsidR="001B3D5D" w:rsidRDefault="004D5502">
      <w:pPr>
        <w:pStyle w:val="MELegal4"/>
      </w:pPr>
      <w:r>
        <w:t>the Landlord's determination as to:</w:t>
      </w:r>
    </w:p>
    <w:p w:rsidR="001B3D5D" w:rsidRDefault="004D5502">
      <w:pPr>
        <w:pStyle w:val="MELegal5"/>
      </w:pPr>
      <w:r>
        <w:t xml:space="preserve">who deposited waste in the Warehousing Complex; and </w:t>
      </w:r>
    </w:p>
    <w:p w:rsidR="001B3D5D" w:rsidRDefault="004D5502">
      <w:pPr>
        <w:pStyle w:val="MELegal5"/>
      </w:pPr>
      <w:r>
        <w:t>the costs incurred by the Landlord in removing the waste,</w:t>
      </w:r>
    </w:p>
    <w:p w:rsidR="001B3D5D" w:rsidRDefault="004D5502">
      <w:pPr>
        <w:ind w:left="1360" w:firstLine="680"/>
      </w:pPr>
      <w:r>
        <w:t>is final.</w:t>
      </w:r>
    </w:p>
    <w:p w:rsidR="001B3D5D" w:rsidRDefault="004D5502">
      <w:pPr>
        <w:pStyle w:val="MELegal2"/>
      </w:pPr>
      <w:bookmarkStart w:id="283" w:name="_Toc360548072"/>
      <w:bookmarkStart w:id="284" w:name="_Toc333488553"/>
      <w:bookmarkStart w:id="285" w:name="_Toc345578231"/>
      <w:bookmarkStart w:id="286" w:name="_Toc411870645"/>
      <w:bookmarkEnd w:id="283"/>
      <w:r>
        <w:t xml:space="preserve">Landlord's rights to inspect </w:t>
      </w:r>
      <w:r>
        <w:t>and carry out repairs</w:t>
      </w:r>
      <w:bookmarkEnd w:id="284"/>
      <w:bookmarkEnd w:id="285"/>
      <w:bookmarkEnd w:id="286"/>
    </w:p>
    <w:p w:rsidR="001B3D5D" w:rsidRDefault="004D5502">
      <w:pPr>
        <w:pStyle w:val="MELegal3"/>
      </w:pPr>
      <w:r>
        <w:t>The Landlord may enter and inspect the Premises at all reasonable times on giving the Tenant reasonable notice (except in the case of emergency when no notice is necessary and the entry may be at any time).</w:t>
      </w:r>
    </w:p>
    <w:p w:rsidR="001B3D5D" w:rsidRDefault="004D5502">
      <w:pPr>
        <w:pStyle w:val="MELegal3"/>
      </w:pPr>
      <w:bookmarkStart w:id="287" w:name="_Ref72118747"/>
      <w:r>
        <w:t>The Landlord may give the T</w:t>
      </w:r>
      <w:r>
        <w:t>enant notice of any defect in or work required to the Premises which is the Tenant's responsibility under this lease, requiring the Tenant to rectify the defect or to carry out the work within a reasonable time.</w:t>
      </w:r>
      <w:bookmarkEnd w:id="287"/>
    </w:p>
    <w:p w:rsidR="001B3D5D" w:rsidRDefault="004D5502">
      <w:pPr>
        <w:pStyle w:val="MELegal3"/>
      </w:pPr>
      <w:r>
        <w:t xml:space="preserve">If the Tenant does not comply with a notice </w:t>
      </w:r>
      <w:r>
        <w:t>under clause </w:t>
      </w:r>
      <w:r>
        <w:fldChar w:fldCharType="begin"/>
      </w:r>
      <w:r>
        <w:instrText xml:space="preserve"> REF _Ref72118747 \w \h  \* MERGEFORMAT </w:instrText>
      </w:r>
      <w:r>
        <w:fldChar w:fldCharType="separate"/>
      </w:r>
      <w:r>
        <w:t>9.4(b)</w:t>
      </w:r>
      <w:r>
        <w:fldChar w:fldCharType="end"/>
      </w:r>
      <w:r>
        <w:t xml:space="preserve"> the Landlord may rectify the defect or carry out the work and the Tenant must pay the Landlord the Cost the Landlord incurs in rec</w:t>
      </w:r>
      <w:r>
        <w:t>tifying the defect or carrying out the work.</w:t>
      </w:r>
    </w:p>
    <w:p w:rsidR="001B3D5D" w:rsidRDefault="004D5502">
      <w:pPr>
        <w:pStyle w:val="MELegal2"/>
      </w:pPr>
      <w:bookmarkStart w:id="288" w:name="_Toc333488554"/>
      <w:bookmarkStart w:id="289" w:name="_Toc345578232"/>
      <w:bookmarkStart w:id="290" w:name="_Toc411870646"/>
      <w:r>
        <w:t>Landlord may carry out works in the Premises</w:t>
      </w:r>
      <w:bookmarkEnd w:id="288"/>
      <w:bookmarkEnd w:id="289"/>
      <w:bookmarkEnd w:id="290"/>
    </w:p>
    <w:p w:rsidR="001B3D5D" w:rsidRDefault="004D5502">
      <w:pPr>
        <w:pStyle w:val="MELegal3"/>
      </w:pPr>
      <w:bookmarkStart w:id="291" w:name="_Ref72118760"/>
      <w:r>
        <w:t xml:space="preserve">The Tenant must permit the Landlord at all reasonable times on reasonable notice (except in the case of emergency when no notice is necessary and the entry may be at </w:t>
      </w:r>
      <w:r>
        <w:t>any time) to enter and remain in the Premises to carry out work relating to the Premises or the Warehouse Land.</w:t>
      </w:r>
      <w:bookmarkEnd w:id="291"/>
    </w:p>
    <w:p w:rsidR="001B3D5D" w:rsidRDefault="004D5502">
      <w:pPr>
        <w:pStyle w:val="MELegal3"/>
      </w:pPr>
      <w:r>
        <w:t>The Landlord must, when carrying out work in the Premises under clause </w:t>
      </w:r>
      <w:r>
        <w:fldChar w:fldCharType="begin"/>
      </w:r>
      <w:r>
        <w:instrText xml:space="preserve"> REF _Ref72118760 \w \h  \* MERGEFORMAT </w:instrText>
      </w:r>
      <w:r>
        <w:fldChar w:fldCharType="separate"/>
      </w:r>
      <w:r>
        <w:t>9.5(a)</w:t>
      </w:r>
      <w:r>
        <w:fldChar w:fldCharType="end"/>
      </w:r>
      <w:r>
        <w:t>:</w:t>
      </w:r>
    </w:p>
    <w:p w:rsidR="001B3D5D" w:rsidRDefault="004D5502">
      <w:pPr>
        <w:pStyle w:val="MELegal4"/>
      </w:pPr>
      <w:r>
        <w:t>attempt to minimise inconvenience to the Tenant as far as is practicable in the circumstances; and</w:t>
      </w:r>
    </w:p>
    <w:p w:rsidR="001B3D5D" w:rsidRDefault="004D5502">
      <w:pPr>
        <w:pStyle w:val="MELegal4"/>
      </w:pPr>
      <w:r>
        <w:lastRenderedPageBreak/>
        <w:t xml:space="preserve">remove from the Premises all rubbish resulting from the work and leave those parts of the Premises used as clean as </w:t>
      </w:r>
      <w:r>
        <w:t>they were prior to the Landlord carrying out the work.</w:t>
      </w:r>
    </w:p>
    <w:p w:rsidR="001B3D5D" w:rsidRDefault="004D5502">
      <w:pPr>
        <w:pStyle w:val="MELegal2"/>
      </w:pPr>
      <w:bookmarkStart w:id="292" w:name="_Ref342402703"/>
      <w:bookmarkStart w:id="293" w:name="_Toc345578233"/>
      <w:bookmarkStart w:id="294" w:name="_Toc411870647"/>
      <w:bookmarkStart w:id="295" w:name="_Toc145757210"/>
      <w:bookmarkStart w:id="296" w:name="_Ref217359707"/>
      <w:bookmarkStart w:id="297" w:name="_Toc320024621"/>
      <w:bookmarkStart w:id="298" w:name="_Toc334110434"/>
      <w:bookmarkStart w:id="299" w:name="_Ref72119264"/>
      <w:bookmarkStart w:id="300" w:name="_Toc333488555"/>
      <w:r>
        <w:t>Essential Safety Measures</w:t>
      </w:r>
      <w:bookmarkEnd w:id="292"/>
      <w:bookmarkEnd w:id="293"/>
      <w:bookmarkEnd w:id="294"/>
      <w:r>
        <w:t xml:space="preserve"> </w:t>
      </w:r>
      <w:bookmarkEnd w:id="295"/>
      <w:bookmarkEnd w:id="296"/>
      <w:bookmarkEnd w:id="297"/>
      <w:bookmarkEnd w:id="298"/>
    </w:p>
    <w:p w:rsidR="001B3D5D" w:rsidRDefault="004D5502">
      <w:pPr>
        <w:pStyle w:val="MELegal3"/>
      </w:pPr>
      <w:r>
        <w:t>The Landlord will regularly inspect and maintain the Essential Safety Measures, including fire sprinklers, emergency lighting, exit signs and fire fighting equipment on the W</w:t>
      </w:r>
      <w:r>
        <w:t>arehouse Land.</w:t>
      </w:r>
    </w:p>
    <w:p w:rsidR="001B3D5D" w:rsidRDefault="004D5502">
      <w:pPr>
        <w:pStyle w:val="MELegal3"/>
      </w:pPr>
      <w:r>
        <w:t>The Landlord and Tenant confirm that:</w:t>
      </w:r>
    </w:p>
    <w:p w:rsidR="001B3D5D" w:rsidRDefault="004D5502">
      <w:pPr>
        <w:pStyle w:val="MELegal4"/>
      </w:pPr>
      <w:r>
        <w:t xml:space="preserve">the Law relating to Essential Safety Measures imposes certain obligations on the owner of a building to provide and maintain "Essential Safety Measures" as required for the particular building; </w:t>
      </w:r>
    </w:p>
    <w:p w:rsidR="001B3D5D" w:rsidRDefault="004D5502">
      <w:pPr>
        <w:pStyle w:val="MELegal4"/>
      </w:pPr>
      <w:r>
        <w:t xml:space="preserve">the </w:t>
      </w:r>
      <w:r>
        <w:t>Tenant occupies the Premises under this lease to the exclusion of the Landlord; and</w:t>
      </w:r>
    </w:p>
    <w:p w:rsidR="001B3D5D" w:rsidRDefault="004D5502">
      <w:pPr>
        <w:pStyle w:val="MELegal4"/>
      </w:pPr>
      <w:r>
        <w:t>strict compliance by the Landlord with the Law relating to Essential Safety Measures might be compromised by the tenancy.</w:t>
      </w:r>
    </w:p>
    <w:p w:rsidR="001B3D5D" w:rsidRDefault="004D5502">
      <w:pPr>
        <w:pStyle w:val="MELegal3"/>
      </w:pPr>
      <w:r>
        <w:t>Accordingly, the Tenant must:</w:t>
      </w:r>
    </w:p>
    <w:p w:rsidR="001B3D5D" w:rsidRDefault="004D5502">
      <w:pPr>
        <w:pStyle w:val="MELegal4"/>
      </w:pPr>
      <w:r>
        <w:t>refrain from conduct</w:t>
      </w:r>
      <w:r>
        <w:t xml:space="preserve"> that alters or compromises the proper working condition of all emergency exit doors, paths of travel, smoke detectors, emergency lighting, exit signs and other Essential Safety Measures;</w:t>
      </w:r>
    </w:p>
    <w:p w:rsidR="001B3D5D" w:rsidRDefault="004D5502">
      <w:pPr>
        <w:pStyle w:val="MELegal4"/>
      </w:pPr>
      <w:r>
        <w:t>immediately advise the Landlord and confirm in writing any alteratio</w:t>
      </w:r>
      <w:r>
        <w:t>n, breakdown or theft of or damage to any Essential Safety Measures at the Premises;</w:t>
      </w:r>
    </w:p>
    <w:p w:rsidR="001B3D5D" w:rsidRDefault="004D5502">
      <w:pPr>
        <w:pStyle w:val="MELegal4"/>
      </w:pPr>
      <w:r>
        <w:t>allow the Landlord or its appointed agent to come into the Premises at any time on the provision of reasonable notice (except in the case of an emergency, when no notice i</w:t>
      </w:r>
      <w:r>
        <w:t>s required) to inspect, maintain and/or repair any Essential Safety Measures;</w:t>
      </w:r>
    </w:p>
    <w:p w:rsidR="001B3D5D" w:rsidRDefault="004D5502">
      <w:pPr>
        <w:pStyle w:val="MELegal4"/>
      </w:pPr>
      <w:r>
        <w:t xml:space="preserve">maintain the display of any determination or annual essential safety measures report and report of maintenance checks, service and repair work kept on the Premises under the Law </w:t>
      </w:r>
      <w:r>
        <w:t xml:space="preserve">relating to the Essential Safety Measures and not make them available to any municipal building surveyor or building inspector except on receipt of prior approval from the Landlord; </w:t>
      </w:r>
    </w:p>
    <w:p w:rsidR="001B3D5D" w:rsidRDefault="004D5502">
      <w:pPr>
        <w:pStyle w:val="MELegal4"/>
      </w:pPr>
      <w:r>
        <w:t>advise the Landlord verbally of any proposed inspection by a municipal bu</w:t>
      </w:r>
      <w:r>
        <w:t xml:space="preserve">ilding surveyor or building inspector and provide the Landlord with a copy of any notice received; </w:t>
      </w:r>
    </w:p>
    <w:p w:rsidR="001B3D5D" w:rsidRDefault="004D5502">
      <w:pPr>
        <w:pStyle w:val="MELegal4"/>
      </w:pPr>
      <w:r>
        <w:t xml:space="preserve">subject to clause </w:t>
      </w:r>
      <w:r>
        <w:fldChar w:fldCharType="begin"/>
      </w:r>
      <w:r>
        <w:instrText xml:space="preserve"> REF _Ref341281789 \r \h </w:instrText>
      </w:r>
      <w:r>
        <w:fldChar w:fldCharType="separate"/>
      </w:r>
      <w:r>
        <w:t>9.1(c)</w:t>
      </w:r>
      <w:r>
        <w:fldChar w:fldCharType="end"/>
      </w:r>
      <w:r>
        <w:t>, pay to the Landlord the Costs of maint</w:t>
      </w:r>
      <w:r>
        <w:t xml:space="preserve">aining the Essential Safety Measures in or servicing the Premises in good working order; </w:t>
      </w:r>
    </w:p>
    <w:p w:rsidR="001B3D5D" w:rsidRDefault="004D5502">
      <w:pPr>
        <w:pStyle w:val="MELegal4"/>
      </w:pPr>
      <w:r>
        <w:t>if a certificate or permit in relation to the fire safety of the Premises is required by any Authority whether on a periodic basis or otherwise, take all reasonable s</w:t>
      </w:r>
      <w:r>
        <w:t>teps to assist the Landlord in providing or obtaining the certificate or permit and pay on demand any Costs associated with the provision of the certificate or permit; and</w:t>
      </w:r>
    </w:p>
    <w:p w:rsidR="001B3D5D" w:rsidRDefault="004D5502">
      <w:pPr>
        <w:pStyle w:val="MELegal4"/>
      </w:pPr>
      <w:r>
        <w:t>if the Tenant or the Tenant's Agents damage the Essential Safety Measures or trigger</w:t>
      </w:r>
      <w:r>
        <w:t xml:space="preserve"> the fire sprinklers or other fire safety device, pay to the Landlord the Costs:</w:t>
      </w:r>
    </w:p>
    <w:p w:rsidR="001B3D5D" w:rsidRDefault="004D5502">
      <w:pPr>
        <w:pStyle w:val="MELegal5"/>
      </w:pPr>
      <w:r>
        <w:t>of rectifying the damage; and</w:t>
      </w:r>
    </w:p>
    <w:p w:rsidR="001B3D5D" w:rsidRDefault="004D5502">
      <w:pPr>
        <w:pStyle w:val="MELegal5"/>
      </w:pPr>
      <w:r>
        <w:lastRenderedPageBreak/>
        <w:t>associated with the triggering of the fire sprinklers or other fire safety device.</w:t>
      </w:r>
    </w:p>
    <w:p w:rsidR="001B3D5D" w:rsidRDefault="004D5502">
      <w:pPr>
        <w:pStyle w:val="MELegal3"/>
      </w:pPr>
      <w:bookmarkStart w:id="301" w:name="_Ref342402708"/>
      <w:r>
        <w:t>The Tenant acknowledges that any proposal by the Tenant for bu</w:t>
      </w:r>
      <w:r>
        <w:t>ilding works or renovations at the Premises has the potential to invoke the application of the Law relating to the Essential Safety Measures at the Premises. Accordingly, the Tenant must:</w:t>
      </w:r>
      <w:bookmarkEnd w:id="301"/>
    </w:p>
    <w:p w:rsidR="001B3D5D" w:rsidRDefault="004D5502">
      <w:pPr>
        <w:pStyle w:val="MELegal4"/>
      </w:pPr>
      <w:r>
        <w:t xml:space="preserve">not apply to the local council or a private building surveyor for a </w:t>
      </w:r>
      <w:r>
        <w:t xml:space="preserve">planning permit or building permit for any building works or alterations at the Premises without first obtaining the Landlord's consent in writing, and then on the conditions that the Landlord specifies; </w:t>
      </w:r>
    </w:p>
    <w:p w:rsidR="001B3D5D" w:rsidRDefault="004D5502">
      <w:pPr>
        <w:pStyle w:val="MELegal4"/>
      </w:pPr>
      <w:r>
        <w:t>before proceeding with the works, provide to the La</w:t>
      </w:r>
      <w:r>
        <w:t>ndlord in writing:</w:t>
      </w:r>
    </w:p>
    <w:p w:rsidR="001B3D5D" w:rsidRDefault="004D5502">
      <w:pPr>
        <w:pStyle w:val="MELegal5"/>
      </w:pPr>
      <w:r>
        <w:t>an explanation of the extent of regulatory compliance required and whether the works will result in a change to the building's classification under the Law relating to the Essential Safety Measures; and</w:t>
      </w:r>
    </w:p>
    <w:p w:rsidR="001B3D5D" w:rsidRDefault="004D5502">
      <w:pPr>
        <w:pStyle w:val="MELegal5"/>
      </w:pPr>
      <w:r>
        <w:t>advice as to whether the nominated</w:t>
      </w:r>
      <w:r>
        <w:t xml:space="preserve"> building surveyor proposes to use performance-based solutions under the Building Code of Australia and if so, their details and the estimated increase in building maintenance Costs this will create; and</w:t>
      </w:r>
    </w:p>
    <w:p w:rsidR="001B3D5D" w:rsidRDefault="004D5502">
      <w:pPr>
        <w:pStyle w:val="MELegal4"/>
      </w:pPr>
      <w:r>
        <w:t xml:space="preserve">on completion of the building works, provide a copy </w:t>
      </w:r>
      <w:r>
        <w:t xml:space="preserve">of any Essential Safety Measures determination or occupancy permit issued by the relevant building inspector so that it can be included in the essential safety measures logbook for the Premises. </w:t>
      </w:r>
    </w:p>
    <w:p w:rsidR="001B3D5D" w:rsidRDefault="004D5502">
      <w:pPr>
        <w:pStyle w:val="MELegal3"/>
      </w:pPr>
      <w:r>
        <w:t>The Tenant must pay for all essential safety measures inspec</w:t>
      </w:r>
      <w:r>
        <w:t xml:space="preserve">tions, reports and compliance arising as a result of the Tenant's works under clause </w:t>
      </w:r>
      <w:r>
        <w:fldChar w:fldCharType="begin"/>
      </w:r>
      <w:r>
        <w:instrText xml:space="preserve"> REF _Ref342402703 \r \h </w:instrText>
      </w:r>
      <w:r>
        <w:fldChar w:fldCharType="separate"/>
      </w:r>
      <w:r>
        <w:t>9.6</w:t>
      </w:r>
      <w:r>
        <w:fldChar w:fldCharType="end"/>
      </w:r>
      <w:r>
        <w:fldChar w:fldCharType="begin"/>
      </w:r>
      <w:r>
        <w:instrText xml:space="preserve"> REF _Ref342402708 \r \h </w:instrText>
      </w:r>
      <w:r>
        <w:fldChar w:fldCharType="separate"/>
      </w:r>
      <w:r>
        <w:t>(d)</w:t>
      </w:r>
      <w:r>
        <w:fldChar w:fldCharType="end"/>
      </w:r>
      <w:r>
        <w:t xml:space="preserve"> unless otherwise agreed by the Landlord in writing.  If building works for the Premises instigated by the Tenant result in a requirement for the installation of Essential Safety Measures or an increase in maintenance, inspection or oth</w:t>
      </w:r>
      <w:r>
        <w:t>er Costs necessary to comply with any Law relating to Essential Safety Measures, the Tenant must on demand by the Landlord pay those additional Costs.</w:t>
      </w:r>
    </w:p>
    <w:p w:rsidR="001B3D5D" w:rsidRDefault="004D5502">
      <w:pPr>
        <w:pStyle w:val="MELegal3"/>
      </w:pPr>
      <w:r>
        <w:t>If the Tenant's proposed fitout and occupancy levels will exceed normal allowances for the mechanical ser</w:t>
      </w:r>
      <w:r>
        <w:t>vices capacity for the Warehousing Complex (for example, air conditioning) and require special treatment, the Tenant must at its Cost and using the Landlord's nominated contractors arrange for all necessary modifications or additions to the existing servic</w:t>
      </w:r>
      <w:r>
        <w:t>es to adequately meet the Tenant's present and future requirements for the Premises and to ensure compliance with all relevant Laws.  The Tenant releases the Landlord from any Claim the Tenant may have as a result of the Tenant's modifications or additions</w:t>
      </w:r>
      <w:r>
        <w:t xml:space="preserve"> to the services.</w:t>
      </w:r>
    </w:p>
    <w:p w:rsidR="001B3D5D" w:rsidRDefault="004D5502">
      <w:pPr>
        <w:pStyle w:val="MELegal3"/>
      </w:pPr>
      <w:r>
        <w:t>If the Landlord is prevented from or delayed in complying with any Law relating to Essential Safety Measures because of any act, neglect, default or use of the Premises by the Tenant, the Landlord may require the Tenant at the Tenant's Co</w:t>
      </w:r>
      <w:r>
        <w:t>st to do those things necessary to enable the Landlord to comply with those regulations.</w:t>
      </w:r>
    </w:p>
    <w:p w:rsidR="001B3D5D" w:rsidRDefault="004D5502">
      <w:pPr>
        <w:pStyle w:val="MELegal2"/>
      </w:pPr>
      <w:bookmarkStart w:id="302" w:name="_Toc345578234"/>
      <w:bookmarkStart w:id="303" w:name="_Toc411870648"/>
      <w:r>
        <w:t>Reporting damage or loss</w:t>
      </w:r>
      <w:bookmarkEnd w:id="299"/>
      <w:bookmarkEnd w:id="300"/>
      <w:bookmarkEnd w:id="302"/>
      <w:bookmarkEnd w:id="303"/>
    </w:p>
    <w:p w:rsidR="001B3D5D" w:rsidRDefault="004D5502">
      <w:pPr>
        <w:ind w:left="680"/>
      </w:pPr>
      <w:r>
        <w:t xml:space="preserve">If the Tenant suffers, or anticipates that it may suffer, any loss or damage as a result of an act or omission of the Landlord which may give </w:t>
      </w:r>
      <w:r>
        <w:t>rise to a Claim for compensation by the Tenant against the Landlord, the Tenant must promptly notify the Landlord giving details of the act or omission and of the alleged or anticipated loss or damage.</w:t>
      </w:r>
    </w:p>
    <w:p w:rsidR="001B3D5D" w:rsidRDefault="004D5502">
      <w:pPr>
        <w:pStyle w:val="MELegal2"/>
      </w:pPr>
      <w:bookmarkStart w:id="304" w:name="_Ref320026430"/>
      <w:bookmarkStart w:id="305" w:name="_Toc334110435"/>
      <w:bookmarkStart w:id="306" w:name="_Toc345578235"/>
      <w:bookmarkStart w:id="307" w:name="_Toc411870649"/>
      <w:bookmarkStart w:id="308" w:name="_Ref72118772"/>
      <w:bookmarkStart w:id="309" w:name="_Toc333488557"/>
      <w:r>
        <w:lastRenderedPageBreak/>
        <w:t>Tenant's works</w:t>
      </w:r>
      <w:bookmarkEnd w:id="304"/>
      <w:bookmarkEnd w:id="305"/>
      <w:bookmarkEnd w:id="306"/>
      <w:bookmarkEnd w:id="307"/>
      <w:r>
        <w:t xml:space="preserve"> </w:t>
      </w:r>
    </w:p>
    <w:p w:rsidR="001B3D5D" w:rsidRDefault="004D5502">
      <w:pPr>
        <w:pStyle w:val="MELegal3"/>
      </w:pPr>
      <w:bookmarkStart w:id="310" w:name="_Ref315858772"/>
      <w:r>
        <w:t>The Tenant must not carry out any work</w:t>
      </w:r>
      <w:r>
        <w:t>s to any of the Premises, the Warehouse Land, the Market Land or the Services without the Landlord's approval (which must not be unreasonably withheld).  If the Landlord approves any works, the Tenant must ensure that the works it does are done:</w:t>
      </w:r>
      <w:bookmarkEnd w:id="310"/>
    </w:p>
    <w:p w:rsidR="001B3D5D" w:rsidRDefault="004D5502">
      <w:pPr>
        <w:pStyle w:val="MELegal4"/>
      </w:pPr>
      <w:r>
        <w:t>in a prope</w:t>
      </w:r>
      <w:r>
        <w:t>r and workmanlike manner;</w:t>
      </w:r>
    </w:p>
    <w:p w:rsidR="001B3D5D" w:rsidRDefault="004D5502">
      <w:pPr>
        <w:pStyle w:val="MELegal4"/>
      </w:pPr>
      <w:r>
        <w:t>by contractors approved by the Landlord (who must act reasonably); and</w:t>
      </w:r>
    </w:p>
    <w:p w:rsidR="001B3D5D" w:rsidRDefault="004D5502">
      <w:pPr>
        <w:pStyle w:val="MELegal4"/>
      </w:pPr>
      <w:r>
        <w:t>in accordance with:</w:t>
      </w:r>
    </w:p>
    <w:p w:rsidR="001B3D5D" w:rsidRDefault="004D5502">
      <w:pPr>
        <w:pStyle w:val="MELegal5"/>
      </w:pPr>
      <w:r>
        <w:t>any reasonable conditions imposed by the Landlord (including as to payment of its Costs);</w:t>
      </w:r>
    </w:p>
    <w:p w:rsidR="001B3D5D" w:rsidRDefault="004D5502">
      <w:pPr>
        <w:pStyle w:val="MELegal5"/>
      </w:pPr>
      <w:r>
        <w:t>any plans, specifications or schedule of finishes</w:t>
      </w:r>
      <w:r>
        <w:t xml:space="preserve"> approved by the Landlord (who must act reasonably); </w:t>
      </w:r>
    </w:p>
    <w:p w:rsidR="001B3D5D" w:rsidRDefault="004D5502">
      <w:pPr>
        <w:pStyle w:val="MELegal5"/>
      </w:pPr>
      <w:r>
        <w:t xml:space="preserve">all Laws (including Australian Standards) and Requirements of all Authorities;  </w:t>
      </w:r>
    </w:p>
    <w:p w:rsidR="001B3D5D" w:rsidRDefault="004D5502">
      <w:pPr>
        <w:pStyle w:val="MELegal5"/>
      </w:pPr>
      <w:r>
        <w:t>the Landlord's requirements and conditions relating to the employment of qualified contractors, occupational health and s</w:t>
      </w:r>
      <w:r>
        <w:t>afety and electrical safety; and</w:t>
      </w:r>
    </w:p>
    <w:p w:rsidR="001B3D5D" w:rsidRDefault="004D5502">
      <w:pPr>
        <w:pStyle w:val="MELegal5"/>
      </w:pPr>
      <w:r>
        <w:t>the Landlord's other reasonable requirements and directions.</w:t>
      </w:r>
    </w:p>
    <w:p w:rsidR="001B3D5D" w:rsidRDefault="004D5502">
      <w:pPr>
        <w:pStyle w:val="MELegal3"/>
      </w:pPr>
      <w:r>
        <w:t>If the Tenant undertakes the works referred to in this clause </w:t>
      </w:r>
      <w:r>
        <w:fldChar w:fldCharType="begin"/>
      </w:r>
      <w:r>
        <w:instrText xml:space="preserve"> REF _Ref320026430 \r \h  \* MERGEFORMAT </w:instrText>
      </w:r>
      <w:r>
        <w:fldChar w:fldCharType="separate"/>
      </w:r>
      <w:r>
        <w:t>9.8</w:t>
      </w:r>
      <w:r>
        <w:fldChar w:fldCharType="end"/>
      </w:r>
      <w:r>
        <w:t xml:space="preserve"> with the Landlord's consent, the Landlord may impose conditions on the Tenant, which the Tenant must comply with when the Tenant vacates the Premises.</w:t>
      </w:r>
    </w:p>
    <w:p w:rsidR="001B3D5D" w:rsidRDefault="004D5502">
      <w:pPr>
        <w:pStyle w:val="MELegal3"/>
      </w:pPr>
      <w:r>
        <w:t>These conditions may include:</w:t>
      </w:r>
    </w:p>
    <w:p w:rsidR="001B3D5D" w:rsidRDefault="004D5502">
      <w:pPr>
        <w:pStyle w:val="MELegal4"/>
      </w:pPr>
      <w:r>
        <w:t xml:space="preserve">which parts of the Premises may not be reinstated and which </w:t>
      </w:r>
      <w:r>
        <w:t>parts must be; and</w:t>
      </w:r>
    </w:p>
    <w:p w:rsidR="001B3D5D" w:rsidRDefault="004D5502">
      <w:pPr>
        <w:pStyle w:val="MELegal4"/>
      </w:pPr>
      <w:r>
        <w:t>which items of the Tenant's Fixtures installed as part of the works must not be removed.</w:t>
      </w:r>
    </w:p>
    <w:p w:rsidR="001B3D5D" w:rsidRDefault="004D5502">
      <w:pPr>
        <w:pStyle w:val="MELegal2"/>
      </w:pPr>
      <w:bookmarkStart w:id="311" w:name="_Ref150775492"/>
      <w:bookmarkStart w:id="312" w:name="_Toc315852067"/>
      <w:bookmarkStart w:id="313" w:name="_Toc334110437"/>
      <w:bookmarkStart w:id="314" w:name="_Toc345578236"/>
      <w:bookmarkStart w:id="315" w:name="_Toc411870650"/>
      <w:r>
        <w:t>Tenant must not do certain works</w:t>
      </w:r>
      <w:bookmarkEnd w:id="311"/>
      <w:bookmarkEnd w:id="312"/>
      <w:bookmarkEnd w:id="313"/>
      <w:bookmarkEnd w:id="314"/>
      <w:bookmarkEnd w:id="315"/>
      <w:r>
        <w:t xml:space="preserve"> </w:t>
      </w:r>
    </w:p>
    <w:p w:rsidR="001B3D5D" w:rsidRDefault="004D5502">
      <w:pPr>
        <w:pStyle w:val="MELegal3"/>
      </w:pPr>
      <w:r>
        <w:t xml:space="preserve">Despite anything else in this lease, the Tenant must not carry out any repair, maintenance or other works to the </w:t>
      </w:r>
      <w:r>
        <w:t>Premises, the Warehouse Land or the Market Land (even if the Tenant is liable to do those works under this lease) if the repair, maintenance or other works affects:</w:t>
      </w:r>
    </w:p>
    <w:p w:rsidR="001B3D5D" w:rsidRDefault="004D5502">
      <w:pPr>
        <w:pStyle w:val="MELegal4"/>
      </w:pPr>
      <w:r>
        <w:t xml:space="preserve">the structure of the Premises, the Warehouse Land or the Market Land; </w:t>
      </w:r>
    </w:p>
    <w:p w:rsidR="001B3D5D" w:rsidRDefault="004D5502">
      <w:pPr>
        <w:pStyle w:val="MELegal4"/>
      </w:pPr>
      <w:r>
        <w:t xml:space="preserve">any Service; </w:t>
      </w:r>
    </w:p>
    <w:p w:rsidR="001B3D5D" w:rsidRDefault="004D5502">
      <w:pPr>
        <w:pStyle w:val="MELegal4"/>
      </w:pPr>
      <w:r>
        <w:t>the Co</w:t>
      </w:r>
      <w:r>
        <w:t>mmon Areas; or</w:t>
      </w:r>
    </w:p>
    <w:p w:rsidR="001B3D5D" w:rsidRDefault="004D5502">
      <w:pPr>
        <w:pStyle w:val="MELegal4"/>
      </w:pPr>
      <w:r>
        <w:t>the Landlord's Maintenance Items,</w:t>
      </w:r>
    </w:p>
    <w:p w:rsidR="001B3D5D" w:rsidRDefault="004D5502">
      <w:pPr>
        <w:ind w:left="1360"/>
      </w:pPr>
      <w:r>
        <w:t>(</w:t>
      </w:r>
      <w:r>
        <w:rPr>
          <w:b/>
        </w:rPr>
        <w:t>Specified Repair Work</w:t>
      </w:r>
      <w:r>
        <w:t>).</w:t>
      </w:r>
    </w:p>
    <w:p w:rsidR="001B3D5D" w:rsidRDefault="004D5502">
      <w:pPr>
        <w:pStyle w:val="MELegal3"/>
      </w:pPr>
      <w:bookmarkStart w:id="316" w:name="_Ref356987197"/>
      <w:r>
        <w:t>For the avoidance of doubt, Specified Repair Work includes any work:</w:t>
      </w:r>
      <w:bookmarkEnd w:id="316"/>
    </w:p>
    <w:p w:rsidR="001B3D5D" w:rsidRDefault="004D5502">
      <w:pPr>
        <w:pStyle w:val="MELegal4"/>
      </w:pPr>
      <w:r>
        <w:t>to any load bearing or structural walls of the Premises or the Warehousing Complex;</w:t>
      </w:r>
    </w:p>
    <w:p w:rsidR="001B3D5D" w:rsidRDefault="004D5502">
      <w:pPr>
        <w:pStyle w:val="MELegal4"/>
      </w:pPr>
      <w:r>
        <w:t xml:space="preserve">to the floor of the Premises </w:t>
      </w:r>
      <w:r>
        <w:t>or the Warehousing Complex;</w:t>
      </w:r>
    </w:p>
    <w:p w:rsidR="001B3D5D" w:rsidRDefault="004D5502">
      <w:pPr>
        <w:pStyle w:val="MELegal4"/>
      </w:pPr>
      <w:r>
        <w:lastRenderedPageBreak/>
        <w:t>to the roof or ceiling (except for any false or suspended ceiling installed by or on behalf of the Tenant) of the Premises or the Warehousing Complex;</w:t>
      </w:r>
    </w:p>
    <w:p w:rsidR="001B3D5D" w:rsidRDefault="004D5502">
      <w:pPr>
        <w:pStyle w:val="MELegal4"/>
      </w:pPr>
      <w:r>
        <w:t>affecting any of the Essential Safety Measures in the Premises, fire detectio</w:t>
      </w:r>
      <w:r>
        <w:t>n, prevention and protection equipment, emergency lighting or exit signs;</w:t>
      </w:r>
    </w:p>
    <w:p w:rsidR="001B3D5D" w:rsidRDefault="004D5502">
      <w:pPr>
        <w:pStyle w:val="MELegal4"/>
      </w:pPr>
      <w:r>
        <w:t>to any emergency warning intercommunications system in or servicing the Premises, the Warehouse Land or the Market Land; and/or</w:t>
      </w:r>
    </w:p>
    <w:p w:rsidR="001B3D5D" w:rsidRDefault="004D5502">
      <w:pPr>
        <w:pStyle w:val="MELegal4"/>
      </w:pPr>
      <w:r>
        <w:t>in relation to the installation and supply of electric</w:t>
      </w:r>
      <w:r>
        <w:t>ity or the repair, maintenance or removal of equipment that supplies or conveys electricity except for any electricity supply that has been installed in the Premises by the Tenant.</w:t>
      </w:r>
    </w:p>
    <w:p w:rsidR="001B3D5D" w:rsidRDefault="004D5502">
      <w:pPr>
        <w:pStyle w:val="MELegal3"/>
      </w:pPr>
      <w:r>
        <w:t>For the avoidance of doubt, Specified Repair Work does not include any coat</w:t>
      </w:r>
      <w:r>
        <w:t xml:space="preserve">ing applied to the floor or the removal or installation of pallet racking or any other storage system. If the Tenant wishes to undertake these works, it must do so in accordance with clause </w:t>
      </w:r>
      <w:r>
        <w:fldChar w:fldCharType="begin"/>
      </w:r>
      <w:r>
        <w:instrText xml:space="preserve"> REF _Ref320026430 \r \h </w:instrText>
      </w:r>
      <w:r>
        <w:fldChar w:fldCharType="separate"/>
      </w:r>
      <w:r>
        <w:t>9.8</w:t>
      </w:r>
      <w:r>
        <w:fldChar w:fldCharType="end"/>
      </w:r>
      <w:r>
        <w:t>.</w:t>
      </w:r>
    </w:p>
    <w:p w:rsidR="001B3D5D" w:rsidRDefault="004D5502">
      <w:pPr>
        <w:pStyle w:val="MELegal3"/>
      </w:pPr>
      <w:r>
        <w:t>All Specified Repair Work must be carried out by the Landlord.</w:t>
      </w:r>
    </w:p>
    <w:p w:rsidR="001B3D5D" w:rsidRDefault="004D5502">
      <w:pPr>
        <w:pStyle w:val="MELegal3"/>
      </w:pPr>
      <w:r>
        <w:t>The Tenant must promptly reimburse the Landlord the Cost of undertaking any Specified Repair Work to the extent that:</w:t>
      </w:r>
    </w:p>
    <w:p w:rsidR="001B3D5D" w:rsidRDefault="004D5502">
      <w:pPr>
        <w:pStyle w:val="MELegal4"/>
      </w:pPr>
      <w:r>
        <w:t>the Tenant is liable for the Specified Repa</w:t>
      </w:r>
      <w:r>
        <w:t>ir Work; or</w:t>
      </w:r>
    </w:p>
    <w:p w:rsidR="001B3D5D" w:rsidRDefault="004D5502">
      <w:pPr>
        <w:pStyle w:val="MELegal4"/>
      </w:pPr>
      <w:r>
        <w:t>the Specified Repair Work is required because of:</w:t>
      </w:r>
    </w:p>
    <w:p w:rsidR="001B3D5D" w:rsidRDefault="004D5502">
      <w:pPr>
        <w:pStyle w:val="MELegal5"/>
      </w:pPr>
      <w:r>
        <w:t>an act or omission by the Tenant;</w:t>
      </w:r>
    </w:p>
    <w:p w:rsidR="001B3D5D" w:rsidRDefault="004D5502">
      <w:pPr>
        <w:pStyle w:val="MELegal5"/>
      </w:pPr>
      <w:r>
        <w:t>a breach by the Tenant of a provision of this lease; or</w:t>
      </w:r>
    </w:p>
    <w:p w:rsidR="001B3D5D" w:rsidRDefault="004D5502">
      <w:pPr>
        <w:pStyle w:val="MELegal5"/>
      </w:pPr>
      <w:r>
        <w:t>the use or occupation of the Premises by the Tenant.</w:t>
      </w:r>
    </w:p>
    <w:p w:rsidR="001B3D5D" w:rsidRDefault="004D5502">
      <w:pPr>
        <w:pStyle w:val="MELegal3"/>
      </w:pPr>
      <w:r>
        <w:t>The Landlord may appoint any contractor to carry ou</w:t>
      </w:r>
      <w:r>
        <w:t xml:space="preserve">t any Specified Repair Work (including any contractor appointed to provide long term facilities management services in respect of the Warehouse Land or the Market Land) and the Costs of such Specified Repair Work will include all Costs properly charged by </w:t>
      </w:r>
      <w:r>
        <w:t xml:space="preserve">such contractor to the Landlord. </w:t>
      </w:r>
    </w:p>
    <w:p w:rsidR="001B3D5D" w:rsidRDefault="004D5502">
      <w:pPr>
        <w:pStyle w:val="MELegal2"/>
      </w:pPr>
      <w:bookmarkStart w:id="317" w:name="_Toc333488560"/>
      <w:bookmarkStart w:id="318" w:name="_Ref335327950"/>
      <w:bookmarkStart w:id="319" w:name="_Ref335328562"/>
      <w:bookmarkStart w:id="320" w:name="_Ref340481502"/>
      <w:bookmarkStart w:id="321" w:name="_Toc345578237"/>
      <w:bookmarkStart w:id="322" w:name="_Toc411870651"/>
      <w:bookmarkStart w:id="323" w:name="_Ref356987320"/>
      <w:bookmarkStart w:id="324" w:name="_Ref72119284"/>
      <w:bookmarkStart w:id="325" w:name="_Toc333488589"/>
      <w:bookmarkEnd w:id="308"/>
      <w:bookmarkEnd w:id="309"/>
      <w:r>
        <w:t>Obligations on termination of lease</w:t>
      </w:r>
      <w:bookmarkEnd w:id="317"/>
      <w:bookmarkEnd w:id="318"/>
      <w:bookmarkEnd w:id="319"/>
      <w:bookmarkEnd w:id="320"/>
      <w:bookmarkEnd w:id="321"/>
      <w:bookmarkEnd w:id="322"/>
      <w:r>
        <w:t xml:space="preserve"> </w:t>
      </w:r>
      <w:bookmarkEnd w:id="323"/>
    </w:p>
    <w:p w:rsidR="001B3D5D" w:rsidRDefault="004D5502">
      <w:pPr>
        <w:pStyle w:val="MELegal3"/>
      </w:pPr>
      <w:bookmarkStart w:id="326" w:name="_Ref340481503"/>
      <w:r>
        <w:t>The Tenant must on the earlier of the Termination Date or the date this lease otherwise ends, vacate the Premises and:</w:t>
      </w:r>
      <w:bookmarkEnd w:id="326"/>
    </w:p>
    <w:p w:rsidR="001B3D5D" w:rsidRDefault="004D5502">
      <w:pPr>
        <w:pStyle w:val="MELegal4"/>
      </w:pPr>
      <w:r>
        <w:t>reinstate the Premises (including Services) to the same standard a</w:t>
      </w:r>
      <w:r>
        <w:t>nd condition it was in as at the earlier of:</w:t>
      </w:r>
    </w:p>
    <w:p w:rsidR="001B3D5D" w:rsidRDefault="004D5502">
      <w:pPr>
        <w:pStyle w:val="MELegal5"/>
      </w:pPr>
      <w:r>
        <w:t>the Commencement Date; and</w:t>
      </w:r>
    </w:p>
    <w:p w:rsidR="001B3D5D" w:rsidRDefault="004D5502">
      <w:pPr>
        <w:pStyle w:val="MELegal5"/>
      </w:pPr>
      <w:r>
        <w:t xml:space="preserve">the date that the Tenant first accessed the Premises; </w:t>
      </w:r>
    </w:p>
    <w:p w:rsidR="001B3D5D" w:rsidRDefault="004D5502">
      <w:pPr>
        <w:pStyle w:val="MELegal4"/>
      </w:pPr>
      <w:r>
        <w:t xml:space="preserve">leave the Premises in a condition consistent with the Tenant having complied with the Tenant's obligations under this lease; </w:t>
      </w:r>
    </w:p>
    <w:p w:rsidR="001B3D5D" w:rsidRDefault="004D5502">
      <w:pPr>
        <w:pStyle w:val="MELegal4"/>
      </w:pPr>
      <w:r>
        <w:t>subject to clause </w:t>
      </w:r>
      <w:r>
        <w:fldChar w:fldCharType="begin"/>
      </w:r>
      <w:r>
        <w:instrText xml:space="preserve"> REF _Ref356987320 \r \h </w:instrText>
      </w:r>
      <w:r>
        <w:fldChar w:fldCharType="separate"/>
      </w:r>
      <w:r>
        <w:t>9.10</w:t>
      </w:r>
      <w:r>
        <w:fldChar w:fldCharType="end"/>
      </w:r>
      <w:r>
        <w:fldChar w:fldCharType="begin"/>
      </w:r>
      <w:r>
        <w:instrText xml:space="preserve"> REF _Ref315859717 \r \h  \* MERGEFORMAT </w:instrText>
      </w:r>
      <w:r>
        <w:fldChar w:fldCharType="separate"/>
      </w:r>
      <w:r>
        <w:t>(b)</w:t>
      </w:r>
      <w:r>
        <w:fldChar w:fldCharType="end"/>
      </w:r>
      <w:r>
        <w:t xml:space="preserve"> or the parties agreeing diffe</w:t>
      </w:r>
      <w:r>
        <w:t xml:space="preserve">rently, remove the Tenant's Fixtures and stock (which includes, but is not limited to, removing any racking in the Premises by grinding out the connecting pins in the concrete floor and refinishing the floor after its removal and leaving the Premises with </w:t>
      </w:r>
      <w:r>
        <w:t>all wiring and cabling secured and made safe); and</w:t>
      </w:r>
    </w:p>
    <w:p w:rsidR="001B3D5D" w:rsidRDefault="004D5502">
      <w:pPr>
        <w:pStyle w:val="MELegal4"/>
      </w:pPr>
      <w:r>
        <w:t>give the Landlord any access cards or identification cards or any other devices held by the Tenant or the Tenant's Agents.</w:t>
      </w:r>
    </w:p>
    <w:p w:rsidR="001B3D5D" w:rsidRDefault="004D5502">
      <w:pPr>
        <w:pStyle w:val="MELegal3"/>
      </w:pPr>
      <w:bookmarkStart w:id="327" w:name="_Ref315859717"/>
      <w:r>
        <w:lastRenderedPageBreak/>
        <w:t xml:space="preserve">Despite anything else in this lease and without limiting clause </w:t>
      </w:r>
      <w:r>
        <w:fldChar w:fldCharType="begin"/>
      </w:r>
      <w:r>
        <w:instrText xml:space="preserve"> REF _Ref356987320</w:instrText>
      </w:r>
      <w:r>
        <w:instrText xml:space="preserve"> \r \h </w:instrText>
      </w:r>
      <w:r>
        <w:fldChar w:fldCharType="separate"/>
      </w:r>
      <w:r>
        <w:t>9.10</w:t>
      </w:r>
      <w:r>
        <w:fldChar w:fldCharType="end"/>
      </w:r>
      <w:r>
        <w:fldChar w:fldCharType="begin"/>
      </w:r>
      <w:r>
        <w:instrText xml:space="preserve"> REF _Ref340481503 \r \h </w:instrText>
      </w:r>
      <w:r>
        <w:fldChar w:fldCharType="separate"/>
      </w:r>
      <w:r>
        <w:t>(a)</w:t>
      </w:r>
      <w:r>
        <w:fldChar w:fldCharType="end"/>
      </w:r>
      <w:r>
        <w:t>, the Tenant must remove from the Premises and the Warehousing Complex (unless otherwise instruc</w:t>
      </w:r>
      <w:r>
        <w:t>ted by the Landlord):</w:t>
      </w:r>
    </w:p>
    <w:p w:rsidR="001B3D5D" w:rsidRDefault="004D5502">
      <w:pPr>
        <w:pStyle w:val="MELegal4"/>
      </w:pPr>
      <w:r>
        <w:t>any inter-tenancy walls within the Premises in respect of which it receives written notice from the Landlord to remove; and</w:t>
      </w:r>
    </w:p>
    <w:p w:rsidR="001B3D5D" w:rsidRDefault="004D5502">
      <w:pPr>
        <w:pStyle w:val="MELegal4"/>
      </w:pPr>
      <w:r>
        <w:t>an item of the Tenant's Fixtures if:</w:t>
      </w:r>
      <w:bookmarkEnd w:id="327"/>
      <w:r>
        <w:t xml:space="preserve"> </w:t>
      </w:r>
    </w:p>
    <w:p w:rsidR="001B3D5D" w:rsidRDefault="004D5502">
      <w:pPr>
        <w:pStyle w:val="MELegal5"/>
      </w:pPr>
      <w:r>
        <w:t>the Landlord has stated (as a condition of giving its approval to works)</w:t>
      </w:r>
      <w:r>
        <w:t xml:space="preserve"> that the item of the Tenant's Fixtures must be removed; or</w:t>
      </w:r>
    </w:p>
    <w:p w:rsidR="001B3D5D" w:rsidRDefault="004D5502">
      <w:pPr>
        <w:pStyle w:val="MELegal5"/>
      </w:pPr>
      <w:r>
        <w:t>the item of the Tenant's Fixtures is part of structural work done by the Tenant (or by the Landlord at the Tenant's request) in respect of which the Landlord gives the Tenant a notice requiring th</w:t>
      </w:r>
      <w:r>
        <w:t>e Tenant to remove that item of Tenant's Fixtures.</w:t>
      </w:r>
    </w:p>
    <w:p w:rsidR="001B3D5D" w:rsidRDefault="004D5502">
      <w:pPr>
        <w:pStyle w:val="MELegal3"/>
      </w:pPr>
      <w:bookmarkStart w:id="328" w:name="_Ref320032020"/>
      <w:r>
        <w:t xml:space="preserve">On the date the lease ends or any later date agreed between the parties (which agreement must be on terms acceptable to the Landlord), if any of the Tenant's Fixtures and stock or other property remain in </w:t>
      </w:r>
      <w:r>
        <w:t>the Premises (</w:t>
      </w:r>
      <w:r>
        <w:rPr>
          <w:b/>
        </w:rPr>
        <w:t>Left Items</w:t>
      </w:r>
      <w:r>
        <w:t>) then:</w:t>
      </w:r>
    </w:p>
    <w:p w:rsidR="001B3D5D" w:rsidRDefault="004D5502">
      <w:pPr>
        <w:pStyle w:val="MELegal4"/>
      </w:pPr>
      <w:r>
        <w:t xml:space="preserve">unless the Landlord and the Tenant agree otherwise, the Left Items revert to, and become the absolute property of, the Landlord without any payment or compensation; </w:t>
      </w:r>
    </w:p>
    <w:p w:rsidR="001B3D5D" w:rsidRDefault="004D5502">
      <w:pPr>
        <w:pStyle w:val="MELegal4"/>
      </w:pPr>
      <w:r>
        <w:t>the Landlord may treat the Left Items as abandoned and rem</w:t>
      </w:r>
      <w:r>
        <w:t>ove any of them from the Premises and recover the Costs of the removal and making good as a liquidated debt payable on demand; and</w:t>
      </w:r>
    </w:p>
    <w:p w:rsidR="001B3D5D" w:rsidRDefault="004D5502">
      <w:pPr>
        <w:pStyle w:val="MELegal4"/>
      </w:pPr>
      <w:r>
        <w:t>to the extent possible at Law on the giving of notice by the Landlord, title to all or any Left Items is transferred to the L</w:t>
      </w:r>
      <w:r>
        <w:t>andlord (</w:t>
      </w:r>
      <w:r>
        <w:rPr>
          <w:b/>
        </w:rPr>
        <w:t>Transferred Items</w:t>
      </w:r>
      <w:r>
        <w:t>).</w:t>
      </w:r>
      <w:bookmarkEnd w:id="328"/>
    </w:p>
    <w:p w:rsidR="001B3D5D" w:rsidRDefault="004D5502">
      <w:pPr>
        <w:pStyle w:val="MELegal3"/>
      </w:pPr>
      <w:r>
        <w:t>The Tenant:</w:t>
      </w:r>
    </w:p>
    <w:p w:rsidR="001B3D5D" w:rsidRDefault="004D5502">
      <w:pPr>
        <w:pStyle w:val="MELegal4"/>
      </w:pPr>
      <w:r>
        <w:t xml:space="preserve">warrants to the Landlord that as at the date on which this lease ends, no third party will have any interest or Security in or Claim in respect of any Left Items; </w:t>
      </w:r>
    </w:p>
    <w:p w:rsidR="001B3D5D" w:rsidRDefault="004D5502">
      <w:pPr>
        <w:pStyle w:val="MELegal4"/>
      </w:pPr>
      <w:r>
        <w:t>must do all things necessary (if any) to complete t</w:t>
      </w:r>
      <w:r>
        <w:t>he transfer of ownership to the Landlord if the Landlord seeks by notice to effect a transfer of ownership in the Transferred Items to the Landlord; and</w:t>
      </w:r>
    </w:p>
    <w:p w:rsidR="001B3D5D" w:rsidRDefault="004D5502">
      <w:pPr>
        <w:pStyle w:val="MELegal4"/>
      </w:pPr>
      <w:r>
        <w:t>appoints the Landlord to be the attorney of the Tenant to act at any time after the end of this lease t</w:t>
      </w:r>
      <w:r>
        <w:t xml:space="preserve">o execute any documentation the Landlord seeks to effect a transfer of ownership in the Transferred Items to the Landlord. </w:t>
      </w:r>
    </w:p>
    <w:p w:rsidR="001B3D5D" w:rsidRDefault="004D5502">
      <w:pPr>
        <w:pStyle w:val="MELegal3"/>
      </w:pPr>
      <w:r>
        <w:t>The Tenant must not cause any damage to the Premises when removing the Tenant's Fixtures and stock.  If any damage is caused, subjec</w:t>
      </w:r>
      <w:r>
        <w:t>t to clause </w:t>
      </w:r>
      <w:r>
        <w:fldChar w:fldCharType="begin"/>
      </w:r>
      <w:r>
        <w:instrText xml:space="preserve"> REF _Ref356987320 \r \h </w:instrText>
      </w:r>
      <w:r>
        <w:fldChar w:fldCharType="separate"/>
      </w:r>
      <w:r>
        <w:t>9.10</w:t>
      </w:r>
      <w:r>
        <w:fldChar w:fldCharType="end"/>
      </w:r>
      <w:r>
        <w:fldChar w:fldCharType="begin"/>
      </w:r>
      <w:r>
        <w:instrText xml:space="preserve"> REF _Ref157488284 \r \h  \* MERGEFORMAT </w:instrText>
      </w:r>
      <w:r>
        <w:fldChar w:fldCharType="separate"/>
      </w:r>
      <w:r>
        <w:t>(f)</w:t>
      </w:r>
      <w:r>
        <w:fldChar w:fldCharType="end"/>
      </w:r>
      <w:r>
        <w:t>, the Tenant will make good the dama</w:t>
      </w:r>
      <w:r>
        <w:t>ge.</w:t>
      </w:r>
    </w:p>
    <w:p w:rsidR="001B3D5D" w:rsidRDefault="004D5502">
      <w:pPr>
        <w:pStyle w:val="MELegal3"/>
      </w:pPr>
      <w:bookmarkStart w:id="329" w:name="_Ref157488284"/>
      <w:r>
        <w:t>If the damage is to:</w:t>
      </w:r>
      <w:bookmarkEnd w:id="329"/>
    </w:p>
    <w:p w:rsidR="001B3D5D" w:rsidRDefault="004D5502">
      <w:pPr>
        <w:pStyle w:val="MELegal4"/>
      </w:pPr>
      <w:r>
        <w:t>the structure of the Premises or the Warehousing Complex; or</w:t>
      </w:r>
    </w:p>
    <w:p w:rsidR="001B3D5D" w:rsidRDefault="004D5502">
      <w:pPr>
        <w:pStyle w:val="MELegal4"/>
      </w:pPr>
      <w:r>
        <w:t>any Service,</w:t>
      </w:r>
    </w:p>
    <w:p w:rsidR="001B3D5D" w:rsidRDefault="004D5502">
      <w:pPr>
        <w:pStyle w:val="MELegal4"/>
      </w:pPr>
      <w:r>
        <w:t>the Landlord may elect to repair the damage at the Tenant's Cost.  If the Landlord does so, the Tenant must pay the Landlord upon demand the Costs incurred b</w:t>
      </w:r>
      <w:r>
        <w:t>y the Landlord in relation to repairing such damage.</w:t>
      </w:r>
    </w:p>
    <w:p w:rsidR="001B3D5D" w:rsidRDefault="004D5502">
      <w:pPr>
        <w:pStyle w:val="MELegal1"/>
      </w:pPr>
      <w:bookmarkStart w:id="330" w:name="_Ref339019529"/>
      <w:bookmarkStart w:id="331" w:name="_Toc345578238"/>
      <w:bookmarkStart w:id="332" w:name="_Toc411870652"/>
      <w:r>
        <w:lastRenderedPageBreak/>
        <w:t>Insurances and indemnities</w:t>
      </w:r>
      <w:bookmarkEnd w:id="324"/>
      <w:bookmarkEnd w:id="325"/>
      <w:bookmarkEnd w:id="330"/>
      <w:bookmarkEnd w:id="331"/>
      <w:bookmarkEnd w:id="332"/>
    </w:p>
    <w:p w:rsidR="001B3D5D" w:rsidRDefault="004D5502">
      <w:pPr>
        <w:pStyle w:val="MELegal2"/>
      </w:pPr>
      <w:bookmarkStart w:id="333" w:name="_Ref72117483"/>
      <w:bookmarkStart w:id="334" w:name="_Ref72118989"/>
      <w:bookmarkStart w:id="335" w:name="_Toc333488590"/>
      <w:bookmarkStart w:id="336" w:name="_Toc345578239"/>
      <w:bookmarkStart w:id="337" w:name="_Toc411870653"/>
      <w:r>
        <w:t>Policies of insurance</w:t>
      </w:r>
      <w:bookmarkEnd w:id="333"/>
      <w:bookmarkEnd w:id="334"/>
      <w:bookmarkEnd w:id="335"/>
      <w:bookmarkEnd w:id="336"/>
      <w:bookmarkEnd w:id="337"/>
      <w:r>
        <w:t xml:space="preserve"> </w:t>
      </w:r>
    </w:p>
    <w:p w:rsidR="001B3D5D" w:rsidRDefault="004D5502">
      <w:pPr>
        <w:ind w:left="680"/>
      </w:pPr>
      <w:r>
        <w:t>During the Term and otherwise while in possession of the Premises, the Tenant must maintain insurance with a reputable insurer for:</w:t>
      </w:r>
    </w:p>
    <w:p w:rsidR="001B3D5D" w:rsidRDefault="004D5502">
      <w:pPr>
        <w:pStyle w:val="MELegal3"/>
      </w:pPr>
      <w:r>
        <w:t xml:space="preserve">public liability for </w:t>
      </w:r>
      <w:r>
        <w:t>at least $20 million per occurrence (or such other amount as the Landlord reasonably considers necessary from time to time) indemnifying the Landlord and the Landlord's Agents for their legal liability for personal injury and/or property damage arising fro</w:t>
      </w:r>
      <w:r>
        <w:t>m the acts and omissions of and the use and occupation of the Premises by the Tenant, which insurance policy must:</w:t>
      </w:r>
    </w:p>
    <w:p w:rsidR="001B3D5D" w:rsidRDefault="004D5502">
      <w:pPr>
        <w:pStyle w:val="MELegal4"/>
      </w:pPr>
      <w:r>
        <w:t>waive all rights of subrogation against the Landlord;</w:t>
      </w:r>
    </w:p>
    <w:p w:rsidR="001B3D5D" w:rsidRDefault="004D5502">
      <w:pPr>
        <w:pStyle w:val="MELegal4"/>
      </w:pPr>
      <w:r>
        <w:t>include a cross liability clause under which the insurer agrees that:</w:t>
      </w:r>
    </w:p>
    <w:p w:rsidR="001B3D5D" w:rsidRDefault="004D5502">
      <w:pPr>
        <w:pStyle w:val="MELegal5"/>
      </w:pPr>
      <w:r>
        <w:t xml:space="preserve">the term </w:t>
      </w:r>
      <w:r>
        <w:rPr>
          <w:b/>
          <w:bCs/>
        </w:rPr>
        <w:t>Insured</w:t>
      </w:r>
      <w:r>
        <w:t xml:space="preserve"> applies to each person named on the policy as if a separate policy of insurance had issued to each of them; and</w:t>
      </w:r>
    </w:p>
    <w:p w:rsidR="001B3D5D" w:rsidRDefault="004D5502">
      <w:pPr>
        <w:pStyle w:val="MELegal5"/>
      </w:pPr>
      <w:r>
        <w:t>any non-disclosure or breach of policy conditions by one insured does not prejudice the right of any other insured to claim under the insurance</w:t>
      </w:r>
      <w:r>
        <w:t>;</w:t>
      </w:r>
    </w:p>
    <w:p w:rsidR="001B3D5D" w:rsidRDefault="004D5502">
      <w:pPr>
        <w:pStyle w:val="MELegal4"/>
      </w:pPr>
      <w:r>
        <w:t>provide that it will not be brought into contribution with any other policy indemnifying the Landlord or the Landlord's Agents against the same risks; and</w:t>
      </w:r>
    </w:p>
    <w:p w:rsidR="001B3D5D" w:rsidRDefault="004D5502">
      <w:pPr>
        <w:pStyle w:val="MELegal4"/>
      </w:pPr>
      <w:r>
        <w:t>not exclude construction risk for any works carried out by the Tenant or the Tenant's Agents;</w:t>
      </w:r>
    </w:p>
    <w:p w:rsidR="001B3D5D" w:rsidRDefault="004D5502">
      <w:pPr>
        <w:pStyle w:val="MELegal3"/>
      </w:pPr>
      <w:r>
        <w:t>the T</w:t>
      </w:r>
      <w:r>
        <w:t>enant's Fixtures and the Tenant's stock and any other items in the Premises for which the Tenant has responsibility under this lease against loss or damage or destruction from fire, flood and any other insurable risk for the full replacement value (includi</w:t>
      </w:r>
      <w:r>
        <w:t>ng extra Costs to comply with Australian Standards or any other standard or requirements that may apply at the time of the loss or damage);</w:t>
      </w:r>
    </w:p>
    <w:p w:rsidR="001B3D5D" w:rsidRDefault="004D5502">
      <w:pPr>
        <w:pStyle w:val="MELegal3"/>
      </w:pPr>
      <w:r>
        <w:t xml:space="preserve">the financial consequences of interruption caused to the Tenant's business as a result of the Tenant not being able </w:t>
      </w:r>
      <w:r>
        <w:t xml:space="preserve">to carry on business from the Premises (arising from fire, flood and any other insurable risk and providing cover for a period of at least 12 months); </w:t>
      </w:r>
    </w:p>
    <w:p w:rsidR="001B3D5D" w:rsidRDefault="004D5502">
      <w:pPr>
        <w:pStyle w:val="MELegal3"/>
      </w:pPr>
      <w:r>
        <w:t>any person employed by the Tenant as required by any Law relating to workers' compensation; and</w:t>
      </w:r>
    </w:p>
    <w:p w:rsidR="001B3D5D" w:rsidRDefault="004D5502">
      <w:pPr>
        <w:pStyle w:val="MELegal3"/>
      </w:pPr>
      <w:r>
        <w:t>any othe</w:t>
      </w:r>
      <w:r>
        <w:t xml:space="preserve">r insurance required by Law, </w:t>
      </w:r>
    </w:p>
    <w:p w:rsidR="001B3D5D" w:rsidRDefault="004D5502">
      <w:pPr>
        <w:ind w:left="709"/>
      </w:pPr>
      <w:r>
        <w:t xml:space="preserve">except to the extent that such insurance is not available to the Tenant other than  by reason of the Tenant's actions and the Tenant has provided to the Landlord evidence, satisfactory to the Landlord (acting reasonably), of its unavailability. </w:t>
      </w:r>
      <w:bookmarkStart w:id="338" w:name="_Toc333488592"/>
      <w:bookmarkStart w:id="339" w:name="_Toc345578240"/>
    </w:p>
    <w:p w:rsidR="001B3D5D" w:rsidRDefault="004D5502">
      <w:pPr>
        <w:pStyle w:val="MELegal2"/>
      </w:pPr>
      <w:bookmarkStart w:id="340" w:name="_Toc411870654"/>
      <w:r>
        <w:t>Production</w:t>
      </w:r>
      <w:r>
        <w:t xml:space="preserve"> of policies of insurance</w:t>
      </w:r>
      <w:bookmarkEnd w:id="338"/>
      <w:bookmarkEnd w:id="339"/>
      <w:bookmarkEnd w:id="340"/>
    </w:p>
    <w:p w:rsidR="001B3D5D" w:rsidRDefault="004D5502">
      <w:pPr>
        <w:keepNext/>
        <w:ind w:left="680"/>
      </w:pPr>
      <w:r>
        <w:t>In relation to the insurance policies effected under clause </w:t>
      </w:r>
      <w:r>
        <w:fldChar w:fldCharType="begin"/>
      </w:r>
      <w:r>
        <w:instrText xml:space="preserve"> REF _Ref72118989 \w \h  \* MERGEFORMAT </w:instrText>
      </w:r>
      <w:r>
        <w:fldChar w:fldCharType="separate"/>
      </w:r>
      <w:r>
        <w:t>10.1</w:t>
      </w:r>
      <w:r>
        <w:fldChar w:fldCharType="end"/>
      </w:r>
      <w:r>
        <w:t xml:space="preserve"> the Tenant must:</w:t>
      </w:r>
    </w:p>
    <w:p w:rsidR="001B3D5D" w:rsidRDefault="004D5502">
      <w:pPr>
        <w:pStyle w:val="MELegal3"/>
      </w:pPr>
      <w:r>
        <w:t>provide evidence of each policy immediate</w:t>
      </w:r>
      <w:r>
        <w:t>ly after it is taken out and a certificate or other evidence satisfactory to the Landlord of the currency of the policy within 20 Business Days of each anniversary of the Commencement Date and at any other time the Landlord reasonably requires;</w:t>
      </w:r>
    </w:p>
    <w:p w:rsidR="001B3D5D" w:rsidRDefault="004D5502">
      <w:pPr>
        <w:pStyle w:val="MELegal3"/>
      </w:pPr>
      <w:r>
        <w:t>ensure that</w:t>
      </w:r>
      <w:r>
        <w:t xml:space="preserve"> each policy is taken out with an insurance company of good repute and sound financial backing;</w:t>
      </w:r>
    </w:p>
    <w:p w:rsidR="001B3D5D" w:rsidRDefault="004D5502">
      <w:pPr>
        <w:pStyle w:val="MELegal3"/>
      </w:pPr>
      <w:r>
        <w:t>pay all premiums punctually;</w:t>
      </w:r>
    </w:p>
    <w:p w:rsidR="001B3D5D" w:rsidRDefault="004D5502">
      <w:pPr>
        <w:pStyle w:val="MELegal3"/>
      </w:pPr>
      <w:r>
        <w:lastRenderedPageBreak/>
        <w:t xml:space="preserve">ensure that the State's and the Landlord's interests (and those of any mortgagee of the Landlord and any other person the Landlord </w:t>
      </w:r>
      <w:r>
        <w:t>nominates) are noted on each policy; and</w:t>
      </w:r>
    </w:p>
    <w:p w:rsidR="001B3D5D" w:rsidRDefault="004D5502">
      <w:pPr>
        <w:pStyle w:val="MELegal3"/>
      </w:pPr>
      <w:r>
        <w:t>ensure that each policy provides that:</w:t>
      </w:r>
    </w:p>
    <w:p w:rsidR="001B3D5D" w:rsidRDefault="004D5502">
      <w:pPr>
        <w:pStyle w:val="MELegal4"/>
      </w:pPr>
      <w:r>
        <w:t>the policy cannot lapse or be terminated or varied without 30 days prior notice to the Landlord;</w:t>
      </w:r>
    </w:p>
    <w:p w:rsidR="001B3D5D" w:rsidRDefault="004D5502">
      <w:pPr>
        <w:pStyle w:val="MELegal4"/>
      </w:pPr>
      <w:r>
        <w:t>the insurer will treat notice of any occurrence given by any insured party as n</w:t>
      </w:r>
      <w:r>
        <w:t>otice given by all insured parties; and</w:t>
      </w:r>
    </w:p>
    <w:p w:rsidR="001B3D5D" w:rsidRDefault="004D5502">
      <w:pPr>
        <w:pStyle w:val="MELegal4"/>
      </w:pPr>
      <w:r>
        <w:t>failure by one insured party to disclose any material information or to comply with the conditions of the policy will not prejudice the rights of any other insured party.</w:t>
      </w:r>
    </w:p>
    <w:p w:rsidR="001B3D5D" w:rsidRDefault="004D5502">
      <w:pPr>
        <w:pStyle w:val="MELegal2"/>
      </w:pPr>
      <w:bookmarkStart w:id="341" w:name="_Toc333488593"/>
      <w:bookmarkStart w:id="342" w:name="_Toc345578241"/>
      <w:bookmarkStart w:id="343" w:name="_Toc411870655"/>
      <w:r>
        <w:t>Tenant not to void insurance</w:t>
      </w:r>
      <w:bookmarkEnd w:id="341"/>
      <w:bookmarkEnd w:id="342"/>
      <w:bookmarkEnd w:id="343"/>
    </w:p>
    <w:p w:rsidR="001B3D5D" w:rsidRDefault="004D5502">
      <w:pPr>
        <w:keepNext/>
        <w:ind w:left="680"/>
      </w:pPr>
      <w:r>
        <w:t xml:space="preserve">The Tenant must </w:t>
      </w:r>
      <w:r>
        <w:t>not do any thing in the Premises or in the Warehousing Complex which may vitiate or render void or voidable any insurance.</w:t>
      </w:r>
    </w:p>
    <w:p w:rsidR="001B3D5D" w:rsidRDefault="004D5502">
      <w:pPr>
        <w:pStyle w:val="MELegal2"/>
      </w:pPr>
      <w:bookmarkStart w:id="344" w:name="_Toc333488594"/>
      <w:bookmarkStart w:id="345" w:name="_Toc345578242"/>
      <w:bookmarkStart w:id="346" w:name="_Toc411870656"/>
      <w:r>
        <w:t>Payment of additional premiums</w:t>
      </w:r>
      <w:bookmarkEnd w:id="344"/>
      <w:bookmarkEnd w:id="345"/>
      <w:bookmarkEnd w:id="346"/>
    </w:p>
    <w:p w:rsidR="001B3D5D" w:rsidRDefault="004D5502">
      <w:pPr>
        <w:ind w:left="680"/>
      </w:pPr>
      <w:r>
        <w:t>The Tenant must reimburse the Landlord for all extra premiums for insurance taken out by the Landlord,</w:t>
      </w:r>
      <w:r>
        <w:t xml:space="preserve"> if those extra premiums are payable because of any extra risk caused by the Tenant's use of the Premises, whether or not the Landlord has approved that extra risk.</w:t>
      </w:r>
    </w:p>
    <w:p w:rsidR="001B3D5D" w:rsidRDefault="004D5502">
      <w:pPr>
        <w:pStyle w:val="MELegal2"/>
      </w:pPr>
      <w:bookmarkStart w:id="347" w:name="_Toc326326055"/>
      <w:bookmarkStart w:id="348" w:name="_Toc345578243"/>
      <w:bookmarkStart w:id="349" w:name="_Toc411870657"/>
      <w:bookmarkStart w:id="350" w:name="_Ref72119004"/>
      <w:bookmarkStart w:id="351" w:name="_Toc333488595"/>
      <w:r>
        <w:t>Tenant's risk</w:t>
      </w:r>
      <w:bookmarkEnd w:id="347"/>
      <w:bookmarkEnd w:id="348"/>
      <w:bookmarkEnd w:id="349"/>
    </w:p>
    <w:p w:rsidR="001B3D5D" w:rsidRDefault="004D5502">
      <w:pPr>
        <w:ind w:left="680"/>
      </w:pPr>
      <w:r>
        <w:t xml:space="preserve">The Tenant occupies the Premises and enters and uses the Warehouse Land, the </w:t>
      </w:r>
      <w:r>
        <w:t>Market Land, the Warehousing Complex and the Premises at its risk.</w:t>
      </w:r>
    </w:p>
    <w:p w:rsidR="001B3D5D" w:rsidRDefault="004D5502">
      <w:pPr>
        <w:pStyle w:val="MELegal2"/>
      </w:pPr>
      <w:bookmarkStart w:id="352" w:name="_Toc326326056"/>
      <w:bookmarkStart w:id="353" w:name="_Toc345578244"/>
      <w:bookmarkStart w:id="354" w:name="_Toc411870658"/>
      <w:r>
        <w:t>Indemnity</w:t>
      </w:r>
      <w:bookmarkEnd w:id="352"/>
      <w:bookmarkEnd w:id="353"/>
      <w:bookmarkEnd w:id="354"/>
    </w:p>
    <w:p w:rsidR="001B3D5D" w:rsidRDefault="004D5502">
      <w:pPr>
        <w:ind w:left="680"/>
      </w:pPr>
      <w:r>
        <w:t xml:space="preserve">The Tenant is liable for and indemnifies the Landlord and each of the Landlord's Agents against all Claims directly or indirectly arising from or incurred in connection with </w:t>
      </w:r>
      <w:r>
        <w:t>damage to, or the loss or the Cost of, any property or injury to or the death of any person occurring on:</w:t>
      </w:r>
    </w:p>
    <w:p w:rsidR="001B3D5D" w:rsidRDefault="004D5502">
      <w:pPr>
        <w:pStyle w:val="MELegal3"/>
      </w:pPr>
      <w:r>
        <w:t>the Warehouse Land or the Market Land to the extent directly or indirectly caused or contributed to by the act, omission or negligence of the Tenant o</w:t>
      </w:r>
      <w:r>
        <w:t>r the Tenant's Agents; or</w:t>
      </w:r>
    </w:p>
    <w:p w:rsidR="001B3D5D" w:rsidRDefault="004D5502">
      <w:pPr>
        <w:pStyle w:val="MELegal3"/>
      </w:pPr>
      <w:r>
        <w:t>the Premises except to the extent the damage, loss, injury or death is directly or indirectly caused or contributed to by:</w:t>
      </w:r>
    </w:p>
    <w:p w:rsidR="001B3D5D" w:rsidRDefault="004D5502">
      <w:pPr>
        <w:pStyle w:val="MELegal4"/>
      </w:pPr>
      <w:r>
        <w:t>the negligent act or omission of the Landlord or the Landlord's Agents; or</w:t>
      </w:r>
    </w:p>
    <w:p w:rsidR="001B3D5D" w:rsidRDefault="004D5502">
      <w:pPr>
        <w:pStyle w:val="MELegal4"/>
      </w:pPr>
      <w:r>
        <w:t>the default of the Landlord unde</w:t>
      </w:r>
      <w:r>
        <w:t>r this lease caused by the Landlord or the Landlord's Agents.</w:t>
      </w:r>
    </w:p>
    <w:p w:rsidR="001B3D5D" w:rsidRDefault="004D5502">
      <w:pPr>
        <w:pStyle w:val="MELegal2"/>
      </w:pPr>
      <w:bookmarkStart w:id="355" w:name="_Toc326326057"/>
      <w:bookmarkStart w:id="356" w:name="_Toc345578245"/>
      <w:bookmarkStart w:id="357" w:name="_Toc411870659"/>
      <w:r>
        <w:t>Release</w:t>
      </w:r>
      <w:bookmarkEnd w:id="355"/>
      <w:bookmarkEnd w:id="356"/>
      <w:bookmarkEnd w:id="357"/>
    </w:p>
    <w:p w:rsidR="001B3D5D" w:rsidRDefault="004D5502">
      <w:pPr>
        <w:keepNext/>
        <w:ind w:left="680"/>
      </w:pPr>
      <w:r>
        <w:t>The Tenant releases the Landlord and each of the Landlord's Agents from any liability for Claims directly or indirectly arising from or incurred in connection with:</w:t>
      </w:r>
    </w:p>
    <w:p w:rsidR="001B3D5D" w:rsidRDefault="004D5502">
      <w:pPr>
        <w:pStyle w:val="MELegal3"/>
      </w:pPr>
      <w:r>
        <w:t>any damage to, or the</w:t>
      </w:r>
      <w:r>
        <w:t xml:space="preserve"> loss or the Cost of, any property or injury to or the death of any person except to the extent it is caused or contributed to by:</w:t>
      </w:r>
    </w:p>
    <w:p w:rsidR="001B3D5D" w:rsidRDefault="004D5502">
      <w:pPr>
        <w:pStyle w:val="MELegal4"/>
      </w:pPr>
      <w:r>
        <w:t xml:space="preserve">the negligent act or omission of the Landlord or the Landlord's Agents; or </w:t>
      </w:r>
    </w:p>
    <w:p w:rsidR="001B3D5D" w:rsidRDefault="004D5502">
      <w:pPr>
        <w:pStyle w:val="MELegal4"/>
      </w:pPr>
      <w:r>
        <w:t>the default of the Landlord under this lease caus</w:t>
      </w:r>
      <w:r>
        <w:t>ed by the Landlord or the Landlord's Agents,</w:t>
      </w:r>
    </w:p>
    <w:p w:rsidR="001B3D5D" w:rsidRDefault="004D5502">
      <w:pPr>
        <w:ind w:left="1360"/>
      </w:pPr>
      <w:r>
        <w:t xml:space="preserve">or if the Landlord has complied with its obligations under clause </w:t>
      </w:r>
      <w:r>
        <w:fldChar w:fldCharType="begin"/>
      </w:r>
      <w:r>
        <w:instrText xml:space="preserve"> REF _Ref72118010 \r \h </w:instrText>
      </w:r>
      <w:r>
        <w:fldChar w:fldCharType="separate"/>
      </w:r>
      <w:r>
        <w:t>11.2</w:t>
      </w:r>
      <w:r>
        <w:fldChar w:fldCharType="end"/>
      </w:r>
      <w:r>
        <w:t>:</w:t>
      </w:r>
    </w:p>
    <w:p w:rsidR="001B3D5D" w:rsidRDefault="004D5502">
      <w:pPr>
        <w:pStyle w:val="MELegal4"/>
      </w:pPr>
      <w:r>
        <w:t xml:space="preserve">a Service not being available, being interrupted </w:t>
      </w:r>
      <w:r>
        <w:t xml:space="preserve">or not working properly; </w:t>
      </w:r>
    </w:p>
    <w:p w:rsidR="001B3D5D" w:rsidRDefault="004D5502">
      <w:pPr>
        <w:pStyle w:val="MELegal4"/>
      </w:pPr>
      <w:r>
        <w:lastRenderedPageBreak/>
        <w:t xml:space="preserve">the Landlord's plant and equipment not working properly; </w:t>
      </w:r>
    </w:p>
    <w:p w:rsidR="001B3D5D" w:rsidRDefault="004D5502">
      <w:pPr>
        <w:pStyle w:val="MELegal4"/>
      </w:pPr>
      <w:r>
        <w:t>the Common Areas not being clean and in good order; or</w:t>
      </w:r>
    </w:p>
    <w:p w:rsidR="001B3D5D" w:rsidRDefault="004D5502">
      <w:pPr>
        <w:pStyle w:val="MELegal4"/>
      </w:pPr>
      <w:r>
        <w:t>the Premises not being watertight.</w:t>
      </w:r>
    </w:p>
    <w:p w:rsidR="001B3D5D" w:rsidRDefault="004D5502">
      <w:pPr>
        <w:pStyle w:val="MELegal2"/>
      </w:pPr>
      <w:bookmarkStart w:id="358" w:name="_Toc326326058"/>
      <w:bookmarkStart w:id="359" w:name="_Toc345578246"/>
      <w:bookmarkStart w:id="360" w:name="_Toc411870660"/>
      <w:r>
        <w:t>Compliance with lease</w:t>
      </w:r>
      <w:bookmarkEnd w:id="358"/>
      <w:bookmarkEnd w:id="359"/>
      <w:bookmarkEnd w:id="360"/>
    </w:p>
    <w:p w:rsidR="001B3D5D" w:rsidRDefault="004D5502">
      <w:pPr>
        <w:ind w:left="680"/>
      </w:pPr>
      <w:r>
        <w:t>The Tenant is liable for and indemnifies the Landlord and ea</w:t>
      </w:r>
      <w:r>
        <w:t xml:space="preserve">ch of the Landlord's Agents for any loss or damage suffered by the Landlord or the Landlord's Agents if the Tenant or the Tenant's Agents fail to comply with any obligation as to conduct imposed on the Tenant or the Tenant's Agents by this lease or by any </w:t>
      </w:r>
      <w:r>
        <w:t>Law.</w:t>
      </w:r>
    </w:p>
    <w:p w:rsidR="001B3D5D" w:rsidRDefault="004D5502">
      <w:pPr>
        <w:pStyle w:val="MELegal2"/>
      </w:pPr>
      <w:bookmarkStart w:id="361" w:name="_Toc326326059"/>
      <w:bookmarkStart w:id="362" w:name="_Toc345578247"/>
      <w:bookmarkStart w:id="363" w:name="_Toc411870661"/>
      <w:r>
        <w:t>No merger</w:t>
      </w:r>
      <w:bookmarkEnd w:id="361"/>
      <w:bookmarkEnd w:id="362"/>
      <w:bookmarkEnd w:id="363"/>
    </w:p>
    <w:p w:rsidR="001B3D5D" w:rsidRDefault="004D5502">
      <w:pPr>
        <w:ind w:left="680"/>
      </w:pPr>
      <w:r>
        <w:t>The indemnities in this clause </w:t>
      </w:r>
      <w:r>
        <w:fldChar w:fldCharType="begin"/>
      </w:r>
      <w:r>
        <w:instrText xml:space="preserve"> REF _Ref339019529 \r \h </w:instrText>
      </w:r>
      <w:r>
        <w:fldChar w:fldCharType="separate"/>
      </w:r>
      <w:r>
        <w:t>10</w:t>
      </w:r>
      <w:r>
        <w:fldChar w:fldCharType="end"/>
      </w:r>
      <w:r>
        <w:t xml:space="preserve"> are independent from the Tenant's other obligations under this lease and do not come to an end when this lease expi</w:t>
      </w:r>
      <w:r>
        <w:t>res or is terminated.  It is not necessary for the Landlord to incur expense or make a payment before enforcing these indemnities.</w:t>
      </w:r>
    </w:p>
    <w:p w:rsidR="001B3D5D" w:rsidRDefault="004D5502">
      <w:pPr>
        <w:pStyle w:val="MELegal2"/>
      </w:pPr>
      <w:bookmarkStart w:id="364" w:name="_Toc315885246"/>
      <w:bookmarkStart w:id="365" w:name="_Toc345578248"/>
      <w:bookmarkStart w:id="366" w:name="_Toc411870662"/>
      <w:bookmarkStart w:id="367" w:name="_Toc158003599"/>
      <w:bookmarkStart w:id="368" w:name="_Toc334110430"/>
      <w:bookmarkEnd w:id="270"/>
      <w:bookmarkEnd w:id="271"/>
      <w:bookmarkEnd w:id="350"/>
      <w:bookmarkEnd w:id="351"/>
      <w:bookmarkEnd w:id="364"/>
      <w:r>
        <w:t>Occupational Health and Safety</w:t>
      </w:r>
      <w:bookmarkEnd w:id="365"/>
      <w:bookmarkEnd w:id="366"/>
      <w:r>
        <w:t xml:space="preserve"> </w:t>
      </w:r>
      <w:bookmarkEnd w:id="367"/>
      <w:bookmarkEnd w:id="368"/>
    </w:p>
    <w:p w:rsidR="001B3D5D" w:rsidRDefault="004D5502">
      <w:pPr>
        <w:pStyle w:val="MELegal3"/>
      </w:pPr>
      <w:r>
        <w:t>The Landlord will use reasonable endeavours to provide a copy of the Landlord's OH&amp;S</w:t>
      </w:r>
      <w:r>
        <w:t xml:space="preserve"> Plan to the Tenant no later than the Commencement Date. </w:t>
      </w:r>
    </w:p>
    <w:p w:rsidR="001B3D5D" w:rsidRDefault="004D5502">
      <w:pPr>
        <w:pStyle w:val="MELegal3"/>
      </w:pPr>
      <w:r>
        <w:t>The Tenant must comply with the Landlord's OH&amp;S Plan.</w:t>
      </w:r>
    </w:p>
    <w:p w:rsidR="001B3D5D" w:rsidRDefault="004D5502">
      <w:pPr>
        <w:pStyle w:val="MELegal3"/>
      </w:pPr>
      <w:r>
        <w:t xml:space="preserve">The Tenant must indemnify and keep indemnified the Landlord from and against any liability under the </w:t>
      </w:r>
      <w:r>
        <w:rPr>
          <w:i/>
        </w:rPr>
        <w:t>Occupational Health and Safety Act 2004</w:t>
      </w:r>
      <w:r>
        <w:t xml:space="preserve"> (Vi</w:t>
      </w:r>
      <w:r>
        <w:t xml:space="preserve">c), any regulations made under that Act and the </w:t>
      </w:r>
      <w:r>
        <w:rPr>
          <w:i/>
        </w:rPr>
        <w:t xml:space="preserve">Occupational Health and Safety Act 1985 </w:t>
      </w:r>
      <w:r>
        <w:t>(Vic) to the extent the liability arises from the Tenant's use and control of the Premises (</w:t>
      </w:r>
      <w:r>
        <w:rPr>
          <w:b/>
        </w:rPr>
        <w:t>OH&amp;S Legislation</w:t>
      </w:r>
      <w:r>
        <w:t xml:space="preserve">). </w:t>
      </w:r>
    </w:p>
    <w:p w:rsidR="001B3D5D" w:rsidRDefault="004D5502">
      <w:pPr>
        <w:pStyle w:val="MELegal3"/>
      </w:pPr>
      <w:r>
        <w:t>The Tenant must act, keep, maintain and at the expiratio</w:t>
      </w:r>
      <w:r>
        <w:t>n or sooner determination of the Term return to the Landlord the Premises in a manner which complies with the OH&amp;S Legislation.</w:t>
      </w:r>
    </w:p>
    <w:p w:rsidR="001B3D5D" w:rsidRDefault="004D5502">
      <w:pPr>
        <w:pStyle w:val="MELegal3"/>
      </w:pPr>
      <w:r>
        <w:t>For the purposes of the OH&amp;S Legislation, the Tenant acknowledges that it is the occupier of the Premises and it has responsibil</w:t>
      </w:r>
      <w:r>
        <w:t>ity for the management and control of the Premises.</w:t>
      </w:r>
    </w:p>
    <w:p w:rsidR="001B3D5D" w:rsidRDefault="004D5502">
      <w:pPr>
        <w:pStyle w:val="MELegal1"/>
      </w:pPr>
      <w:bookmarkStart w:id="369" w:name="_Ref72117997"/>
      <w:bookmarkStart w:id="370" w:name="_Toc333488504"/>
      <w:bookmarkStart w:id="371" w:name="_Toc345578249"/>
      <w:bookmarkStart w:id="372" w:name="_Toc411870663"/>
      <w:bookmarkStart w:id="373" w:name="_Toc333488564"/>
      <w:bookmarkStart w:id="374" w:name="_Ref320027173"/>
      <w:bookmarkStart w:id="375" w:name="_Ref320027177"/>
      <w:bookmarkStart w:id="376" w:name="_Toc334110431"/>
      <w:r>
        <w:t>Landlord's obligations</w:t>
      </w:r>
      <w:bookmarkEnd w:id="369"/>
      <w:bookmarkEnd w:id="370"/>
      <w:bookmarkEnd w:id="371"/>
      <w:bookmarkEnd w:id="372"/>
    </w:p>
    <w:p w:rsidR="001B3D5D" w:rsidRDefault="004D5502">
      <w:pPr>
        <w:pStyle w:val="MELegal2"/>
      </w:pPr>
      <w:bookmarkStart w:id="377" w:name="_Ref72118048"/>
      <w:bookmarkStart w:id="378" w:name="_Toc333488505"/>
      <w:bookmarkStart w:id="379" w:name="_Toc345578250"/>
      <w:bookmarkStart w:id="380" w:name="_Toc411870664"/>
      <w:r>
        <w:t>Quiet enjoyment</w:t>
      </w:r>
      <w:bookmarkEnd w:id="377"/>
      <w:bookmarkEnd w:id="378"/>
      <w:bookmarkEnd w:id="379"/>
      <w:bookmarkEnd w:id="380"/>
    </w:p>
    <w:p w:rsidR="001B3D5D" w:rsidRDefault="004D5502">
      <w:pPr>
        <w:ind w:left="680"/>
      </w:pPr>
      <w:r>
        <w:t xml:space="preserve">The Tenant may peaceably possess and enjoy the Premises for the Term without any interruption or disturbance from the Landlord, except to the extent interruption or </w:t>
      </w:r>
      <w:r>
        <w:t>disturbance is permitted by a provision of this lease.</w:t>
      </w:r>
    </w:p>
    <w:p w:rsidR="001B3D5D" w:rsidRDefault="004D5502">
      <w:pPr>
        <w:pStyle w:val="MELegal2"/>
      </w:pPr>
      <w:bookmarkStart w:id="381" w:name="_Ref72118010"/>
      <w:bookmarkStart w:id="382" w:name="_Toc333488506"/>
      <w:bookmarkStart w:id="383" w:name="_Toc345578251"/>
      <w:bookmarkStart w:id="384" w:name="_Toc411870665"/>
      <w:r>
        <w:t>Landlord's additional obligations</w:t>
      </w:r>
      <w:bookmarkEnd w:id="381"/>
      <w:bookmarkEnd w:id="382"/>
      <w:bookmarkEnd w:id="383"/>
      <w:bookmarkEnd w:id="384"/>
    </w:p>
    <w:p w:rsidR="001B3D5D" w:rsidRDefault="004D5502">
      <w:pPr>
        <w:ind w:left="680"/>
      </w:pPr>
      <w:bookmarkStart w:id="385" w:name="_Ref341278557"/>
      <w:r>
        <w:t>The Landlord must:</w:t>
      </w:r>
    </w:p>
    <w:p w:rsidR="001B3D5D" w:rsidRDefault="004D5502">
      <w:pPr>
        <w:pStyle w:val="MELegal3"/>
      </w:pPr>
      <w:r>
        <w:t>subject to this lease (including the Tenant's obligations in this lease):</w:t>
      </w:r>
    </w:p>
    <w:p w:rsidR="001B3D5D" w:rsidRDefault="004D5502">
      <w:pPr>
        <w:pStyle w:val="MELegal4"/>
      </w:pPr>
      <w:r>
        <w:t xml:space="preserve">have in place, and comply with, a Planned Maintenance Program; </w:t>
      </w:r>
    </w:p>
    <w:p w:rsidR="001B3D5D" w:rsidRDefault="004D5502">
      <w:pPr>
        <w:pStyle w:val="MELegal4"/>
      </w:pPr>
      <w:r>
        <w:t>promptly a</w:t>
      </w:r>
      <w:r>
        <w:t>ttend to rectifying:</w:t>
      </w:r>
    </w:p>
    <w:p w:rsidR="001B3D5D" w:rsidRDefault="004D5502">
      <w:pPr>
        <w:pStyle w:val="MELegal5"/>
      </w:pPr>
      <w:r>
        <w:t xml:space="preserve">any structural damage or defect in relation to the Premises and </w:t>
      </w:r>
    </w:p>
    <w:p w:rsidR="001B3D5D" w:rsidRDefault="004D5502">
      <w:pPr>
        <w:pStyle w:val="MELegal5"/>
      </w:pPr>
      <w:r>
        <w:t xml:space="preserve">any failure of the Services and the Landlord's plant and equipment to operate properly; </w:t>
      </w:r>
    </w:p>
    <w:p w:rsidR="001B3D5D" w:rsidRDefault="004D5502">
      <w:pPr>
        <w:pStyle w:val="MELegal3"/>
      </w:pPr>
      <w:r>
        <w:lastRenderedPageBreak/>
        <w:t>promptly provide a copy of the Planned Maintenance Program to the Tenant's insure</w:t>
      </w:r>
      <w:r>
        <w:t xml:space="preserve">rs upon reasonable written request; </w:t>
      </w:r>
    </w:p>
    <w:p w:rsidR="001B3D5D" w:rsidRDefault="004D5502">
      <w:pPr>
        <w:pStyle w:val="MELegal3"/>
      </w:pPr>
      <w:r>
        <w:t>comply with all Laws and Requirements in respect of the Warehouse Land and the Premises (except to the extent that the Tenant or other lessees, licensees or occupiers of the Warehouse Land are required to comply with th</w:t>
      </w:r>
      <w:r>
        <w:t>e Laws and Requirements); and</w:t>
      </w:r>
    </w:p>
    <w:p w:rsidR="001B3D5D" w:rsidRDefault="004D5502">
      <w:pPr>
        <w:pStyle w:val="MELegal3"/>
      </w:pPr>
      <w:r>
        <w:t>pay (subject to any right of reimbursement or recovery from the Tenant under this lease) all rates, taxes and other outgoings assessed, metered or levied against the Landlord or the Warehouse Land (including any costs relating</w:t>
      </w:r>
      <w:r>
        <w:t xml:space="preserve"> to late payment).</w:t>
      </w:r>
    </w:p>
    <w:p w:rsidR="001B3D5D" w:rsidRDefault="004D5502">
      <w:pPr>
        <w:pStyle w:val="MELegal2"/>
      </w:pPr>
      <w:bookmarkStart w:id="386" w:name="_Toc372199891"/>
      <w:bookmarkStart w:id="387" w:name="_Toc411870666"/>
      <w:r>
        <w:t>Privacy</w:t>
      </w:r>
      <w:bookmarkEnd w:id="386"/>
      <w:bookmarkEnd w:id="387"/>
      <w:r>
        <w:t xml:space="preserve"> </w:t>
      </w:r>
    </w:p>
    <w:p w:rsidR="001B3D5D" w:rsidRDefault="004D5502">
      <w:pPr>
        <w:pStyle w:val="MELegal3"/>
      </w:pPr>
      <w:r>
        <w:t>The Landlord is bound by the Information Privacy Act 2000 (Vic) (</w:t>
      </w:r>
      <w:r>
        <w:rPr>
          <w:b/>
        </w:rPr>
        <w:t>IP Act</w:t>
      </w:r>
      <w:r>
        <w:t>) including the Information Privacy Principles (</w:t>
      </w:r>
      <w:r>
        <w:rPr>
          <w:b/>
        </w:rPr>
        <w:t>IPPs</w:t>
      </w:r>
      <w:r>
        <w:t xml:space="preserve">) in the IP Act. </w:t>
      </w:r>
    </w:p>
    <w:p w:rsidR="001B3D5D" w:rsidRDefault="004D5502">
      <w:pPr>
        <w:pStyle w:val="MELegal3"/>
      </w:pPr>
      <w:r>
        <w:t>Any Personal Information collected by the Landlord will be handled by the Landlord in a</w:t>
      </w:r>
      <w:r>
        <w:t xml:space="preserve">ccordance with its obligations under the IP Act and the IPPs and with the Landlord's privacy policy as amended from time to time. </w:t>
      </w:r>
    </w:p>
    <w:p w:rsidR="001B3D5D" w:rsidRDefault="004D5502">
      <w:pPr>
        <w:pStyle w:val="MELegal3"/>
      </w:pPr>
      <w:r>
        <w:t xml:space="preserve">'Personal Information' has the meaning given to it in the IP Act and may include information about the Tenant, if the Tenant </w:t>
      </w:r>
      <w:r>
        <w:t>is an individual, and about the Tenant's employees. Personal Information may be collected directly from the individual, from a third party and by way of surveillance cameras installed in or around the Premises and the Common Areas for the purpose of admini</w:t>
      </w:r>
      <w:r>
        <w:t xml:space="preserve">stering this Lease and the exercise of any rights or compliance with any obligations under this Lease. </w:t>
      </w:r>
    </w:p>
    <w:p w:rsidR="001B3D5D" w:rsidRDefault="004D5502">
      <w:pPr>
        <w:pStyle w:val="MELegal1"/>
      </w:pPr>
      <w:bookmarkStart w:id="388" w:name="_Ref342298925"/>
      <w:bookmarkStart w:id="389" w:name="_Ref342298927"/>
      <w:bookmarkStart w:id="390" w:name="_Ref342299120"/>
      <w:bookmarkStart w:id="391" w:name="_Toc345578252"/>
      <w:bookmarkStart w:id="392" w:name="_Toc411870667"/>
      <w:bookmarkEnd w:id="385"/>
      <w:r>
        <w:t>Management and operation of the Warehousing Complex and Warehouse Land</w:t>
      </w:r>
      <w:bookmarkEnd w:id="388"/>
      <w:bookmarkEnd w:id="389"/>
      <w:bookmarkEnd w:id="390"/>
      <w:bookmarkEnd w:id="391"/>
      <w:bookmarkEnd w:id="392"/>
      <w:r>
        <w:t xml:space="preserve"> </w:t>
      </w:r>
      <w:bookmarkEnd w:id="373"/>
    </w:p>
    <w:p w:rsidR="001B3D5D" w:rsidRDefault="004D5502">
      <w:pPr>
        <w:pStyle w:val="MELegal2"/>
      </w:pPr>
      <w:bookmarkStart w:id="393" w:name="_Toc356911716"/>
      <w:bookmarkStart w:id="394" w:name="_Toc356911717"/>
      <w:bookmarkStart w:id="395" w:name="_Toc356911718"/>
      <w:bookmarkStart w:id="396" w:name="_Toc356911719"/>
      <w:bookmarkStart w:id="397" w:name="_Toc356911720"/>
      <w:bookmarkStart w:id="398" w:name="_Toc356911721"/>
      <w:bookmarkStart w:id="399" w:name="_Toc356911722"/>
      <w:bookmarkStart w:id="400" w:name="_Toc356911723"/>
      <w:bookmarkStart w:id="401" w:name="_Toc356911724"/>
      <w:bookmarkStart w:id="402" w:name="_Toc356911725"/>
      <w:bookmarkStart w:id="403" w:name="_Toc356911726"/>
      <w:bookmarkStart w:id="404" w:name="_Toc355101231"/>
      <w:bookmarkStart w:id="405" w:name="_Toc411870668"/>
      <w:bookmarkStart w:id="406" w:name="_Toc355101232"/>
      <w:bookmarkStart w:id="407" w:name="_Toc345578255"/>
      <w:bookmarkEnd w:id="393"/>
      <w:bookmarkEnd w:id="394"/>
      <w:bookmarkEnd w:id="395"/>
      <w:bookmarkEnd w:id="396"/>
      <w:bookmarkEnd w:id="397"/>
      <w:bookmarkEnd w:id="398"/>
      <w:bookmarkEnd w:id="399"/>
      <w:bookmarkEnd w:id="400"/>
      <w:bookmarkEnd w:id="401"/>
      <w:bookmarkEnd w:id="402"/>
      <w:bookmarkEnd w:id="403"/>
      <w:r>
        <w:t>Common Area</w:t>
      </w:r>
      <w:bookmarkEnd w:id="404"/>
      <w:bookmarkEnd w:id="405"/>
    </w:p>
    <w:p w:rsidR="001B3D5D" w:rsidRDefault="004D5502">
      <w:pPr>
        <w:pStyle w:val="MELegal3"/>
      </w:pPr>
      <w:r>
        <w:t>The Landlord may make available within the Warehousing Complex or on</w:t>
      </w:r>
      <w:r>
        <w:t xml:space="preserve"> the Warehouse Land any part of the Warehousing Complex and Warehouse Land that the Landlord determines for use as Common Area.</w:t>
      </w:r>
    </w:p>
    <w:p w:rsidR="001B3D5D" w:rsidRDefault="004D5502">
      <w:pPr>
        <w:pStyle w:val="MELegal3"/>
      </w:pPr>
      <w:r>
        <w:t>The Tenant may use the Common Area together with other people who use the Warehouse Land.</w:t>
      </w:r>
    </w:p>
    <w:p w:rsidR="001B3D5D" w:rsidRDefault="004D5502">
      <w:pPr>
        <w:pStyle w:val="MELegal3"/>
      </w:pPr>
      <w:r>
        <w:t xml:space="preserve">The Common Area is at all times under </w:t>
      </w:r>
      <w:r>
        <w:t>the control of the Landlord.</w:t>
      </w:r>
    </w:p>
    <w:p w:rsidR="001B3D5D" w:rsidRDefault="004D5502">
      <w:pPr>
        <w:pStyle w:val="MELegal3"/>
      </w:pPr>
      <w:r>
        <w:t>The Landlord may operate, manage, decorate, refurbish, equip, police, light, repair and maintain the Common Area as the Landlord sees fit.</w:t>
      </w:r>
    </w:p>
    <w:p w:rsidR="001B3D5D" w:rsidRDefault="004D5502">
      <w:pPr>
        <w:pStyle w:val="MELegal3"/>
      </w:pPr>
      <w:r>
        <w:t>The Landlord may increase, decrease or otherwise vary the size, location or nature of th</w:t>
      </w:r>
      <w:r>
        <w:t>e Common Area.</w:t>
      </w:r>
    </w:p>
    <w:p w:rsidR="001B3D5D" w:rsidRDefault="004D5502">
      <w:pPr>
        <w:pStyle w:val="MELegal2"/>
      </w:pPr>
      <w:bookmarkStart w:id="408" w:name="_Toc411870669"/>
      <w:r>
        <w:t>Use of the Common Area</w:t>
      </w:r>
      <w:bookmarkEnd w:id="406"/>
      <w:bookmarkEnd w:id="408"/>
    </w:p>
    <w:p w:rsidR="001B3D5D" w:rsidRDefault="004D5502">
      <w:pPr>
        <w:ind w:left="680"/>
      </w:pPr>
      <w:r>
        <w:t>The Tenant must not:</w:t>
      </w:r>
    </w:p>
    <w:p w:rsidR="001B3D5D" w:rsidRDefault="004D5502">
      <w:pPr>
        <w:pStyle w:val="MELegal3"/>
      </w:pPr>
      <w:r>
        <w:t>cause an obstruction in any part of the Common Area;</w:t>
      </w:r>
    </w:p>
    <w:p w:rsidR="001B3D5D" w:rsidRDefault="004D5502">
      <w:pPr>
        <w:pStyle w:val="MELegal3"/>
      </w:pPr>
      <w:r>
        <w:t>use any part of the Common Area for purposes other than access to or egress from the Premises; or</w:t>
      </w:r>
    </w:p>
    <w:p w:rsidR="001B3D5D" w:rsidRDefault="004D5502">
      <w:pPr>
        <w:pStyle w:val="MELegal3"/>
      </w:pPr>
      <w:r>
        <w:t>leave any goods or articles in any part of the</w:t>
      </w:r>
      <w:r>
        <w:t xml:space="preserve"> Common Area.</w:t>
      </w:r>
    </w:p>
    <w:p w:rsidR="001B3D5D" w:rsidRDefault="004D5502">
      <w:pPr>
        <w:pStyle w:val="MELegal2"/>
      </w:pPr>
      <w:bookmarkStart w:id="409" w:name="_Toc411870670"/>
      <w:r>
        <w:lastRenderedPageBreak/>
        <w:t>Operating Rules</w:t>
      </w:r>
      <w:bookmarkEnd w:id="409"/>
      <w:r>
        <w:t xml:space="preserve"> </w:t>
      </w:r>
      <w:bookmarkEnd w:id="407"/>
    </w:p>
    <w:p w:rsidR="001B3D5D" w:rsidRDefault="004D5502">
      <w:pPr>
        <w:pStyle w:val="MELegal3"/>
      </w:pPr>
      <w:r>
        <w:t>The Operating Rules form part of this lease and the Tenant must, and must ensure that the Tenant's Agents, comply with the Operating Rules.</w:t>
      </w:r>
    </w:p>
    <w:p w:rsidR="001B3D5D" w:rsidRDefault="004D5502">
      <w:pPr>
        <w:pStyle w:val="MELegal3"/>
      </w:pPr>
      <w:r>
        <w:t xml:space="preserve">The Landlord may vary, suspend, revoke or make new Operating Rules when the Landlord </w:t>
      </w:r>
      <w:r>
        <w:t>reasonably considers necessary or desirable for:</w:t>
      </w:r>
    </w:p>
    <w:p w:rsidR="001B3D5D" w:rsidRDefault="004D5502">
      <w:pPr>
        <w:pStyle w:val="MELegal4"/>
      </w:pPr>
      <w:r>
        <w:t>regulating the occupants of the Warehouse Land, the Market Land, the use of the Premises, the Common Area, the Warehouse Land or the Market Land generally;</w:t>
      </w:r>
    </w:p>
    <w:p w:rsidR="001B3D5D" w:rsidRDefault="004D5502">
      <w:pPr>
        <w:pStyle w:val="MELegal4"/>
      </w:pPr>
      <w:r>
        <w:t>the management, security, safety, health, care or c</w:t>
      </w:r>
      <w:r>
        <w:t>leanliness of persons on the Warehouse Land or the Market Land or the Warehouse Land or the Market Land itself; or</w:t>
      </w:r>
    </w:p>
    <w:p w:rsidR="001B3D5D" w:rsidRDefault="004D5502">
      <w:pPr>
        <w:pStyle w:val="MELegal4"/>
      </w:pPr>
      <w:r>
        <w:t>compliance with directions of any Authority.</w:t>
      </w:r>
    </w:p>
    <w:p w:rsidR="001B3D5D" w:rsidRDefault="004D5502">
      <w:pPr>
        <w:pStyle w:val="MELegal3"/>
      </w:pPr>
      <w:r>
        <w:t>If the terms of this lease are inconsistent with the Operating Rules:</w:t>
      </w:r>
    </w:p>
    <w:p w:rsidR="001B3D5D" w:rsidRDefault="004D5502">
      <w:pPr>
        <w:pStyle w:val="MELegal4"/>
      </w:pPr>
      <w:r>
        <w:t>the Operating Rules must b</w:t>
      </w:r>
      <w:r>
        <w:t>e read down to the extent necessary to remove the inconsistency; and</w:t>
      </w:r>
    </w:p>
    <w:p w:rsidR="001B3D5D" w:rsidRDefault="004D5502">
      <w:pPr>
        <w:pStyle w:val="MELegal4"/>
      </w:pPr>
      <w:r>
        <w:t>the terms of this lease prevail.</w:t>
      </w:r>
    </w:p>
    <w:p w:rsidR="001B3D5D" w:rsidRDefault="004D5502">
      <w:pPr>
        <w:pStyle w:val="MELegal3"/>
      </w:pPr>
      <w:bookmarkStart w:id="410" w:name="_Ref371670109"/>
      <w:r>
        <w:t>The Tenant will be in default under this lease where:</w:t>
      </w:r>
      <w:bookmarkEnd w:id="410"/>
    </w:p>
    <w:p w:rsidR="001B3D5D" w:rsidRDefault="004D5502">
      <w:pPr>
        <w:pStyle w:val="MELegal4"/>
      </w:pPr>
      <w:r>
        <w:t xml:space="preserve">the Landlord gives the Tenant notice that the Tenant has failed to comply with, or the Tenant has </w:t>
      </w:r>
      <w:r>
        <w:t>failed to procure that the Tenant's Agents comply with, the Operating Rules and the Tenant fails to comply or procure compliance within the timeframe specified in that notice; or</w:t>
      </w:r>
    </w:p>
    <w:p w:rsidR="001B3D5D" w:rsidRDefault="004D5502">
      <w:pPr>
        <w:pStyle w:val="MELegal4"/>
      </w:pPr>
      <w:r>
        <w:t xml:space="preserve">the Tenant or the Tenant's Agents fail to comply with the Operating Rules on </w:t>
      </w:r>
      <w:r>
        <w:t>4 or more occasions within any 12 month period.</w:t>
      </w:r>
    </w:p>
    <w:p w:rsidR="001B3D5D" w:rsidRDefault="004D5502">
      <w:pPr>
        <w:pStyle w:val="MELegal1"/>
      </w:pPr>
      <w:bookmarkStart w:id="411" w:name="_Ref315815603"/>
      <w:bookmarkStart w:id="412" w:name="_Ref315859580"/>
      <w:bookmarkStart w:id="413" w:name="_Ref315860259"/>
      <w:bookmarkStart w:id="414" w:name="_Toc334110443"/>
      <w:bookmarkStart w:id="415" w:name="_Toc345578256"/>
      <w:bookmarkStart w:id="416" w:name="_Toc411870671"/>
      <w:bookmarkEnd w:id="374"/>
      <w:bookmarkEnd w:id="375"/>
      <w:bookmarkEnd w:id="376"/>
      <w:r>
        <w:t>Default and termination</w:t>
      </w:r>
      <w:bookmarkEnd w:id="411"/>
      <w:bookmarkEnd w:id="412"/>
      <w:bookmarkEnd w:id="413"/>
      <w:bookmarkEnd w:id="414"/>
      <w:bookmarkEnd w:id="415"/>
      <w:bookmarkEnd w:id="416"/>
    </w:p>
    <w:p w:rsidR="001B3D5D" w:rsidRDefault="004D5502">
      <w:pPr>
        <w:pStyle w:val="MELegal2"/>
      </w:pPr>
      <w:bookmarkStart w:id="417" w:name="_Ref72635370"/>
      <w:bookmarkStart w:id="418" w:name="_Toc326326129"/>
      <w:bookmarkStart w:id="419" w:name="_Toc345578257"/>
      <w:bookmarkStart w:id="420" w:name="_Toc411870672"/>
      <w:bookmarkStart w:id="421" w:name="_Ref15115786"/>
      <w:bookmarkStart w:id="422" w:name="_Ref168392077"/>
      <w:bookmarkStart w:id="423" w:name="_Toc320024670"/>
      <w:bookmarkStart w:id="424" w:name="_Toc334110444"/>
      <w:r>
        <w:t>Tenant's default</w:t>
      </w:r>
      <w:bookmarkEnd w:id="417"/>
      <w:bookmarkEnd w:id="418"/>
      <w:bookmarkEnd w:id="419"/>
      <w:bookmarkEnd w:id="420"/>
    </w:p>
    <w:p w:rsidR="001B3D5D" w:rsidRDefault="004D5502">
      <w:pPr>
        <w:ind w:left="680"/>
      </w:pPr>
      <w:r>
        <w:t>The Tenant is in default and the Landlord may terminate this lease if:</w:t>
      </w:r>
    </w:p>
    <w:p w:rsidR="001B3D5D" w:rsidRDefault="004D5502">
      <w:pPr>
        <w:pStyle w:val="MELegal3"/>
      </w:pPr>
      <w:r>
        <w:t>the Tenant has failed to pay Rent or any other payments under the lease to the Landlord on time,</w:t>
      </w:r>
      <w:r>
        <w:t xml:space="preserve"> and the Landlord has given the Tenant a notice specifying the amount owing and requiring the Tenant to pay it within 14 days after the notice is given; or</w:t>
      </w:r>
    </w:p>
    <w:p w:rsidR="001B3D5D" w:rsidRDefault="004D5502">
      <w:pPr>
        <w:pStyle w:val="MELegal3"/>
      </w:pPr>
      <w:r>
        <w:t xml:space="preserve">an Insolvency Event occurs in respect of the Tenant, and the Landlord has given the Tenant a notice </w:t>
      </w:r>
      <w:r>
        <w:t>requiring the Tenant to prove to the Landlord's satisfaction within seven days after the notice is given that it is no longer subject to the Insolvency Event; or</w:t>
      </w:r>
    </w:p>
    <w:p w:rsidR="001B3D5D" w:rsidRDefault="004D5502">
      <w:pPr>
        <w:pStyle w:val="MELegal3"/>
      </w:pPr>
      <w:r>
        <w:t>the Tenant has not complied with any other obligation under this lease, and the Landlord has g</w:t>
      </w:r>
      <w:r>
        <w:t xml:space="preserve">iven the Tenant a notice specifying the non-compliance and requiring the Tenant to remedy it within a reasonable time after the date the notice is given, </w:t>
      </w:r>
    </w:p>
    <w:p w:rsidR="001B3D5D" w:rsidRDefault="004D5502">
      <w:pPr>
        <w:ind w:left="680"/>
      </w:pPr>
      <w:r>
        <w:t>and the Tenant does not comply with a notice given by the Landlord under this clause </w:t>
      </w:r>
      <w:r>
        <w:fldChar w:fldCharType="begin"/>
      </w:r>
      <w:r>
        <w:instrText xml:space="preserve"> REF _Ref7263537</w:instrText>
      </w:r>
      <w:r>
        <w:instrText xml:space="preserve">0 \w \h </w:instrText>
      </w:r>
      <w:r>
        <w:fldChar w:fldCharType="separate"/>
      </w:r>
      <w:r>
        <w:t>13.1</w:t>
      </w:r>
      <w:r>
        <w:fldChar w:fldCharType="end"/>
      </w:r>
      <w:r>
        <w:t>.</w:t>
      </w:r>
    </w:p>
    <w:p w:rsidR="001B3D5D" w:rsidRDefault="004D5502">
      <w:pPr>
        <w:pStyle w:val="MELegal2"/>
      </w:pPr>
      <w:bookmarkStart w:id="425" w:name="_Toc326326130"/>
      <w:bookmarkStart w:id="426" w:name="_Toc345578258"/>
      <w:bookmarkStart w:id="427" w:name="_Toc411870673"/>
      <w:r>
        <w:t>Statutory notice</w:t>
      </w:r>
      <w:bookmarkEnd w:id="425"/>
      <w:bookmarkEnd w:id="426"/>
      <w:bookmarkEnd w:id="427"/>
    </w:p>
    <w:p w:rsidR="001B3D5D" w:rsidRDefault="004D5502">
      <w:pPr>
        <w:ind w:left="680"/>
      </w:pPr>
      <w:r>
        <w:t>If any Law requires the Landlord to give a notice in a particular form before terminating this lease then the notice required by that Law will be sufficient t</w:t>
      </w:r>
      <w:r>
        <w:t>o satisfy the Landlord's obligations under clause </w:t>
      </w:r>
      <w:r>
        <w:fldChar w:fldCharType="begin"/>
      </w:r>
      <w:r>
        <w:instrText xml:space="preserve"> REF _Ref72635370 \w \h </w:instrText>
      </w:r>
      <w:r>
        <w:fldChar w:fldCharType="separate"/>
      </w:r>
      <w:r>
        <w:t>13.1</w:t>
      </w:r>
      <w:r>
        <w:fldChar w:fldCharType="end"/>
      </w:r>
      <w:r>
        <w:t>.</w:t>
      </w:r>
    </w:p>
    <w:p w:rsidR="001B3D5D" w:rsidRDefault="004D5502">
      <w:pPr>
        <w:pStyle w:val="MELegal2"/>
      </w:pPr>
      <w:bookmarkStart w:id="428" w:name="_Toc326326131"/>
      <w:bookmarkStart w:id="429" w:name="_Toc345578259"/>
      <w:bookmarkStart w:id="430" w:name="_Toc411870674"/>
      <w:r>
        <w:lastRenderedPageBreak/>
        <w:t>Loss of bargain</w:t>
      </w:r>
      <w:bookmarkEnd w:id="428"/>
      <w:bookmarkEnd w:id="429"/>
      <w:bookmarkEnd w:id="430"/>
    </w:p>
    <w:p w:rsidR="001B3D5D" w:rsidRDefault="004D5502">
      <w:pPr>
        <w:ind w:left="680"/>
      </w:pPr>
      <w:r>
        <w:t>If the Landlord terminates this lease under clause </w:t>
      </w:r>
      <w:r>
        <w:fldChar w:fldCharType="begin"/>
      </w:r>
      <w:r>
        <w:instrText xml:space="preserve"> REF _Ref72635370 \w \h </w:instrText>
      </w:r>
      <w:r>
        <w:fldChar w:fldCharType="separate"/>
      </w:r>
      <w:r>
        <w:t>13.1</w:t>
      </w:r>
      <w:r>
        <w:fldChar w:fldCharType="end"/>
      </w:r>
      <w:r>
        <w:t xml:space="preserve"> because the Tenant has not complied with an essential term under this lease and the Landlord re-enters and takes possession of the Premises, the Tenant indemnifies the Landlord against any Claims arisin</w:t>
      </w:r>
      <w:r>
        <w:t>g because the Landlord will not receive the benefit of the Tenant performing its obligations under this lease from the date of the termination until the Termination Date.</w:t>
      </w:r>
    </w:p>
    <w:p w:rsidR="001B3D5D" w:rsidRDefault="004D5502">
      <w:pPr>
        <w:pStyle w:val="MELegal2"/>
      </w:pPr>
      <w:bookmarkStart w:id="431" w:name="_Toc326326132"/>
      <w:bookmarkStart w:id="432" w:name="_Toc345578260"/>
      <w:bookmarkStart w:id="433" w:name="_Toc411870675"/>
      <w:r>
        <w:t>Essential terms</w:t>
      </w:r>
      <w:bookmarkEnd w:id="431"/>
      <w:bookmarkEnd w:id="432"/>
      <w:bookmarkEnd w:id="433"/>
      <w:r>
        <w:t xml:space="preserve"> </w:t>
      </w:r>
    </w:p>
    <w:p w:rsidR="001B3D5D" w:rsidRDefault="004D5502">
      <w:pPr>
        <w:ind w:left="680"/>
      </w:pPr>
      <w:r>
        <w:t>The essential terms of this lease include the Tenant's obligations u</w:t>
      </w:r>
      <w:r>
        <w:t>nder clauses </w:t>
      </w:r>
      <w:r>
        <w:fldChar w:fldCharType="begin"/>
      </w:r>
      <w:r>
        <w:instrText xml:space="preserve"> REF _Ref342298800 \r \h </w:instrText>
      </w:r>
      <w:r>
        <w:fldChar w:fldCharType="separate"/>
      </w:r>
      <w:r>
        <w:t>5</w:t>
      </w:r>
      <w:r>
        <w:fldChar w:fldCharType="end"/>
      </w:r>
      <w:r>
        <w:t xml:space="preserve"> (</w:t>
      </w:r>
      <w:r>
        <w:fldChar w:fldCharType="begin"/>
      </w:r>
      <w:r>
        <w:instrText xml:space="preserve"> REF _Ref342298783 \h </w:instrText>
      </w:r>
      <w:r>
        <w:fldChar w:fldCharType="separate"/>
      </w:r>
      <w:r>
        <w:t>Tenant's financial obligations</w:t>
      </w:r>
      <w:r>
        <w:fldChar w:fldCharType="end"/>
      </w:r>
      <w:r>
        <w:t xml:space="preserve">), </w:t>
      </w:r>
      <w:r>
        <w:fldChar w:fldCharType="begin"/>
      </w:r>
      <w:r>
        <w:instrText xml:space="preserve"> REF _Ref360547841 \w \h </w:instrText>
      </w:r>
      <w:r>
        <w:fldChar w:fldCharType="separate"/>
      </w:r>
      <w:r>
        <w:t>8</w:t>
      </w:r>
      <w:r>
        <w:fldChar w:fldCharType="end"/>
      </w:r>
      <w:r>
        <w:t xml:space="preserve"> (</w:t>
      </w:r>
      <w:r>
        <w:fldChar w:fldCharType="begin"/>
      </w:r>
      <w:r>
        <w:instrText xml:space="preserve"> REF _Ref360547880 \h </w:instrText>
      </w:r>
      <w:r>
        <w:fldChar w:fldCharType="separate"/>
      </w:r>
      <w:r>
        <w:t>Use of Premises</w:t>
      </w:r>
      <w:r>
        <w:fldChar w:fldCharType="end"/>
      </w:r>
      <w:r>
        <w:t xml:space="preserve">), </w:t>
      </w:r>
      <w:r>
        <w:fldChar w:fldCharType="begin"/>
      </w:r>
      <w:r>
        <w:instrText xml:space="preserve"> REF _Ref342298874 \r \h </w:instrText>
      </w:r>
      <w:r>
        <w:fldChar w:fldCharType="separate"/>
      </w:r>
      <w:r>
        <w:t>9</w:t>
      </w:r>
      <w:r>
        <w:fldChar w:fldCharType="end"/>
      </w:r>
      <w:r>
        <w:t xml:space="preserve"> (</w:t>
      </w:r>
      <w:r>
        <w:fldChar w:fldCharType="begin"/>
      </w:r>
      <w:r>
        <w:instrText xml:space="preserve"> REF _Ref342298861 \h </w:instrText>
      </w:r>
      <w:r>
        <w:fldChar w:fldCharType="separate"/>
      </w:r>
      <w:r>
        <w:t>Repair and maintenance</w:t>
      </w:r>
      <w:r>
        <w:fldChar w:fldCharType="end"/>
      </w:r>
      <w:r>
        <w:t xml:space="preserve">), </w:t>
      </w:r>
      <w:r>
        <w:fldChar w:fldCharType="begin"/>
      </w:r>
      <w:r>
        <w:instrText xml:space="preserve"> REF _Ref339019529 \r \h </w:instrText>
      </w:r>
      <w:r>
        <w:fldChar w:fldCharType="separate"/>
      </w:r>
      <w:r>
        <w:t>10</w:t>
      </w:r>
      <w:r>
        <w:fldChar w:fldCharType="end"/>
      </w:r>
      <w:r>
        <w:t xml:space="preserve"> (</w:t>
      </w:r>
      <w:r>
        <w:fldChar w:fldCharType="begin"/>
      </w:r>
      <w:r>
        <w:instrText xml:space="preserve"> REF _Ref339019529 \h </w:instrText>
      </w:r>
      <w:r>
        <w:fldChar w:fldCharType="separate"/>
      </w:r>
      <w:r>
        <w:t>Insura</w:t>
      </w:r>
      <w:r>
        <w:t>nces and indemnities</w:t>
      </w:r>
      <w:r>
        <w:fldChar w:fldCharType="end"/>
      </w:r>
      <w:r>
        <w:t xml:space="preserve">), </w:t>
      </w:r>
      <w:r>
        <w:fldChar w:fldCharType="begin"/>
      </w:r>
      <w:r>
        <w:instrText xml:space="preserve"> REF _Ref342298927 \r \h </w:instrText>
      </w:r>
      <w:r>
        <w:fldChar w:fldCharType="separate"/>
      </w:r>
      <w:r>
        <w:t>12</w:t>
      </w:r>
      <w:r>
        <w:fldChar w:fldCharType="end"/>
      </w:r>
      <w:r>
        <w:t xml:space="preserve"> (</w:t>
      </w:r>
      <w:r>
        <w:fldChar w:fldCharType="begin"/>
      </w:r>
      <w:r>
        <w:instrText xml:space="preserve"> REF _Ref342299120 \h </w:instrText>
      </w:r>
      <w:r>
        <w:fldChar w:fldCharType="separate"/>
      </w:r>
      <w:r>
        <w:t>Management and operation of the Warehousing Complex and Warehouse Land</w:t>
      </w:r>
      <w:r>
        <w:fldChar w:fldCharType="end"/>
      </w:r>
      <w:r>
        <w:t xml:space="preserve">), </w:t>
      </w:r>
      <w:r>
        <w:fldChar w:fldCharType="begin"/>
      </w:r>
      <w:r>
        <w:instrText xml:space="preserve"> REF _Ref315855192 \r \h </w:instrText>
      </w:r>
      <w:r>
        <w:fldChar w:fldCharType="separate"/>
      </w:r>
      <w:r>
        <w:t>16</w:t>
      </w:r>
      <w:r>
        <w:fldChar w:fldCharType="end"/>
      </w:r>
      <w:r>
        <w:t xml:space="preserve"> (</w:t>
      </w:r>
      <w:r>
        <w:fldChar w:fldCharType="begin"/>
      </w:r>
      <w:r>
        <w:instrText xml:space="preserve"> REF _Ref315855192 \h </w:instrText>
      </w:r>
      <w:r>
        <w:fldChar w:fldCharType="separate"/>
      </w:r>
      <w:r>
        <w:t>Assignment and subletting</w:t>
      </w:r>
      <w:r>
        <w:fldChar w:fldCharType="end"/>
      </w:r>
      <w:r>
        <w:t xml:space="preserve">), </w:t>
      </w:r>
      <w:r>
        <w:fldChar w:fldCharType="begin"/>
      </w:r>
      <w:r>
        <w:instrText xml:space="preserve"> REF _Ref342299176 \r \h </w:instrText>
      </w:r>
      <w:r>
        <w:fldChar w:fldCharType="separate"/>
      </w:r>
      <w:r>
        <w:t>17</w:t>
      </w:r>
      <w:r>
        <w:fldChar w:fldCharType="end"/>
      </w:r>
      <w:r>
        <w:t xml:space="preserve"> (</w:t>
      </w:r>
      <w:r>
        <w:fldChar w:fldCharType="begin"/>
      </w:r>
      <w:r>
        <w:instrText xml:space="preserve"> REF _Ref342299179 \h </w:instrText>
      </w:r>
      <w:r>
        <w:fldChar w:fldCharType="separate"/>
      </w:r>
      <w:r>
        <w:t>Security Amount</w:t>
      </w:r>
      <w:r>
        <w:fldChar w:fldCharType="end"/>
      </w:r>
      <w:r>
        <w:t xml:space="preserve">), </w:t>
      </w:r>
      <w:r>
        <w:fldChar w:fldCharType="begin"/>
      </w:r>
      <w:r>
        <w:instrText xml:space="preserve"> REF _Ref136251626 \r \h </w:instrText>
      </w:r>
      <w:r>
        <w:fldChar w:fldCharType="separate"/>
      </w:r>
      <w:r>
        <w:t>18</w:t>
      </w:r>
      <w:r>
        <w:fldChar w:fldCharType="end"/>
      </w:r>
      <w:r>
        <w:t xml:space="preserve"> (</w:t>
      </w:r>
      <w:r>
        <w:fldChar w:fldCharType="begin"/>
      </w:r>
      <w:r>
        <w:instrText xml:space="preserve"> REF _Ref136251626 \h </w:instrText>
      </w:r>
      <w:r>
        <w:fldChar w:fldCharType="separate"/>
      </w:r>
      <w:r>
        <w:t>Go</w:t>
      </w:r>
      <w:r>
        <w:t>ods and Services Tax (GST)</w:t>
      </w:r>
      <w:r>
        <w:fldChar w:fldCharType="end"/>
      </w:r>
      <w:r>
        <w:t xml:space="preserve">), </w:t>
      </w:r>
      <w:r>
        <w:fldChar w:fldCharType="begin"/>
      </w:r>
      <w:r>
        <w:instrText xml:space="preserve"> REF _Ref342299207 \r \h </w:instrText>
      </w:r>
      <w:r>
        <w:fldChar w:fldCharType="separate"/>
      </w:r>
      <w:r>
        <w:t>20</w:t>
      </w:r>
      <w:r>
        <w:fldChar w:fldCharType="end"/>
      </w:r>
      <w:r>
        <w:t xml:space="preserve"> (</w:t>
      </w:r>
      <w:r>
        <w:fldChar w:fldCharType="begin"/>
      </w:r>
      <w:r>
        <w:instrText xml:space="preserve"> REF _Ref342299211 \h </w:instrText>
      </w:r>
      <w:r>
        <w:fldChar w:fldCharType="separate"/>
      </w:r>
      <w:r>
        <w:t>Licensed Area</w:t>
      </w:r>
      <w:r>
        <w:fldChar w:fldCharType="end"/>
      </w:r>
      <w:r>
        <w:t xml:space="preserve">), </w:t>
      </w:r>
      <w:r>
        <w:fldChar w:fldCharType="begin"/>
      </w:r>
      <w:r>
        <w:instrText xml:space="preserve"> REF _Ref342299226 \r \h </w:instrText>
      </w:r>
      <w:r>
        <w:fldChar w:fldCharType="separate"/>
      </w:r>
      <w:r>
        <w:t>21</w:t>
      </w:r>
      <w:r>
        <w:fldChar w:fldCharType="end"/>
      </w:r>
      <w:r>
        <w:t xml:space="preserve"> (</w:t>
      </w:r>
      <w:r>
        <w:fldChar w:fldCharType="begin"/>
      </w:r>
      <w:r>
        <w:instrText xml:space="preserve"> REF _Ref342299228 \h </w:instrText>
      </w:r>
      <w:r>
        <w:fldChar w:fldCharType="separate"/>
      </w:r>
      <w:r>
        <w:t>Retail Act</w:t>
      </w:r>
      <w:r>
        <w:fldChar w:fldCharType="end"/>
      </w:r>
      <w:r>
        <w:t xml:space="preserve">), </w:t>
      </w:r>
      <w:r>
        <w:fldChar w:fldCharType="begin"/>
      </w:r>
      <w:r>
        <w:instrText xml:space="preserve"> REF _Ref3422</w:instrText>
      </w:r>
      <w:r>
        <w:instrText xml:space="preserve">99262 \r \h </w:instrText>
      </w:r>
      <w:r>
        <w:fldChar w:fldCharType="separate"/>
      </w:r>
      <w:r>
        <w:t>22.3</w:t>
      </w:r>
      <w:r>
        <w:fldChar w:fldCharType="end"/>
      </w:r>
      <w:r>
        <w:t xml:space="preserve"> (</w:t>
      </w:r>
      <w:r>
        <w:fldChar w:fldCharType="begin"/>
      </w:r>
      <w:r>
        <w:instrText xml:space="preserve"> REF _Ref342299268 \h </w:instrText>
      </w:r>
      <w:r>
        <w:fldChar w:fldCharType="separate"/>
      </w:r>
      <w:r>
        <w:t>PPSA</w:t>
      </w:r>
      <w:r>
        <w:fldChar w:fldCharType="end"/>
      </w:r>
      <w:r>
        <w:t xml:space="preserve">) and </w:t>
      </w:r>
      <w:r>
        <w:fldChar w:fldCharType="begin"/>
      </w:r>
      <w:r>
        <w:instrText xml:space="preserve"> REF _Ref107838854 \r \h </w:instrText>
      </w:r>
      <w:r>
        <w:fldChar w:fldCharType="separate"/>
      </w:r>
      <w:r>
        <w:t>22.17</w:t>
      </w:r>
      <w:r>
        <w:fldChar w:fldCharType="end"/>
      </w:r>
      <w:r>
        <w:t xml:space="preserve"> (</w:t>
      </w:r>
      <w:r>
        <w:fldChar w:fldCharType="begin"/>
      </w:r>
      <w:r>
        <w:instrText xml:space="preserve"> REF _Ref107838854 \h </w:instrText>
      </w:r>
      <w:r>
        <w:fldChar w:fldCharType="separate"/>
      </w:r>
      <w:r>
        <w:t>Caveats</w:t>
      </w:r>
      <w:r>
        <w:fldChar w:fldCharType="end"/>
      </w:r>
      <w:r>
        <w:t>) and each of the Tenant's obligations to pay money.</w:t>
      </w:r>
    </w:p>
    <w:p w:rsidR="001B3D5D" w:rsidRDefault="004D5502">
      <w:pPr>
        <w:pStyle w:val="MELegal2"/>
      </w:pPr>
      <w:bookmarkStart w:id="434" w:name="_Toc349900848"/>
      <w:bookmarkStart w:id="435" w:name="_Toc349902367"/>
      <w:bookmarkStart w:id="436" w:name="_Toc349912059"/>
      <w:bookmarkStart w:id="437" w:name="_Toc345578261"/>
      <w:bookmarkStart w:id="438" w:name="_Toc411870676"/>
      <w:bookmarkStart w:id="439" w:name="_Toc326326133"/>
      <w:bookmarkEnd w:id="434"/>
      <w:bookmarkEnd w:id="435"/>
      <w:bookmarkEnd w:id="436"/>
      <w:r>
        <w:t>Liabilities on termination</w:t>
      </w:r>
      <w:bookmarkEnd w:id="437"/>
      <w:bookmarkEnd w:id="438"/>
    </w:p>
    <w:p w:rsidR="001B3D5D" w:rsidRDefault="004D5502">
      <w:pPr>
        <w:ind w:left="709"/>
      </w:pPr>
      <w:r>
        <w:t xml:space="preserve">No liability will attach to the Landlord as a result of termination of this lease under this clause </w:t>
      </w:r>
      <w:r>
        <w:fldChar w:fldCharType="begin"/>
      </w:r>
      <w:r>
        <w:instrText xml:space="preserve"> REF _Ref315815603 \r \h </w:instrText>
      </w:r>
      <w:r>
        <w:fldChar w:fldCharType="separate"/>
      </w:r>
      <w:r>
        <w:t>13</w:t>
      </w:r>
      <w:r>
        <w:fldChar w:fldCharType="end"/>
      </w:r>
      <w:r>
        <w:t xml:space="preserve"> but that termination will not affect the rights of either par</w:t>
      </w:r>
      <w:r>
        <w:t>ty in respect of any preceding breach of this lease.</w:t>
      </w:r>
    </w:p>
    <w:p w:rsidR="001B3D5D" w:rsidRDefault="004D5502">
      <w:pPr>
        <w:pStyle w:val="MELegal2"/>
      </w:pPr>
      <w:bookmarkStart w:id="440" w:name="_Toc345578262"/>
      <w:bookmarkStart w:id="441" w:name="_Toc411870677"/>
      <w:r>
        <w:t>Indemnity for default</w:t>
      </w:r>
      <w:bookmarkEnd w:id="439"/>
      <w:bookmarkEnd w:id="440"/>
      <w:bookmarkEnd w:id="441"/>
    </w:p>
    <w:p w:rsidR="001B3D5D" w:rsidRDefault="004D5502">
      <w:pPr>
        <w:ind w:left="680"/>
      </w:pPr>
      <w:r>
        <w:t xml:space="preserve">The Tenant indemnifies the Landlord against Claims arising from the Tenant's default or the Landlord's exercise of its rights under this lease. </w:t>
      </w:r>
    </w:p>
    <w:p w:rsidR="001B3D5D" w:rsidRDefault="004D5502">
      <w:pPr>
        <w:pStyle w:val="MELegal1"/>
      </w:pPr>
      <w:bookmarkStart w:id="442" w:name="_Ref334604692"/>
      <w:bookmarkStart w:id="443" w:name="_Toc345578263"/>
      <w:bookmarkStart w:id="444" w:name="_Toc411870678"/>
      <w:bookmarkStart w:id="445" w:name="_Toc320024681"/>
      <w:bookmarkStart w:id="446" w:name="_Toc334110450"/>
      <w:bookmarkStart w:id="447" w:name="_Ref315882182"/>
      <w:bookmarkEnd w:id="421"/>
      <w:bookmarkEnd w:id="422"/>
      <w:bookmarkEnd w:id="423"/>
      <w:bookmarkEnd w:id="424"/>
      <w:r>
        <w:t>Damage or destruction</w:t>
      </w:r>
      <w:bookmarkEnd w:id="442"/>
      <w:bookmarkEnd w:id="443"/>
      <w:bookmarkEnd w:id="444"/>
      <w:r>
        <w:t xml:space="preserve"> </w:t>
      </w:r>
    </w:p>
    <w:p w:rsidR="001B3D5D" w:rsidRDefault="004D5502">
      <w:pPr>
        <w:pStyle w:val="MELegal2"/>
      </w:pPr>
      <w:bookmarkStart w:id="448" w:name="_Toc345578264"/>
      <w:bookmarkStart w:id="449" w:name="_Toc411870679"/>
      <w:r>
        <w:t>Suspension of</w:t>
      </w:r>
      <w:r>
        <w:t xml:space="preserve"> Rent</w:t>
      </w:r>
      <w:bookmarkEnd w:id="448"/>
      <w:bookmarkEnd w:id="449"/>
    </w:p>
    <w:p w:rsidR="001B3D5D" w:rsidRDefault="004D5502">
      <w:pPr>
        <w:ind w:left="680"/>
      </w:pPr>
      <w:r>
        <w:t>If the Premises or any part of the Warehouse Land are damaged so that the Premises cannot be used or accessed for the Permitted Use:</w:t>
      </w:r>
    </w:p>
    <w:p w:rsidR="001B3D5D" w:rsidRDefault="004D5502">
      <w:pPr>
        <w:pStyle w:val="MELegal3"/>
      </w:pPr>
      <w:bookmarkStart w:id="450" w:name="_Ref334545644"/>
      <w:r>
        <w:t>a fair proportion of the Rent is to be suspended until the Premises are again wholly fit and accessible for the Permi</w:t>
      </w:r>
      <w:r>
        <w:t>tted Use; and</w:t>
      </w:r>
      <w:bookmarkEnd w:id="450"/>
    </w:p>
    <w:p w:rsidR="001B3D5D" w:rsidRDefault="004D5502">
      <w:pPr>
        <w:pStyle w:val="MELegal3"/>
      </w:pPr>
      <w:r>
        <w:t>the suspended proportion of the Rent must be proportionate to the nature and extent of the damage or inaccessibility.</w:t>
      </w:r>
    </w:p>
    <w:p w:rsidR="001B3D5D" w:rsidRDefault="004D5502">
      <w:pPr>
        <w:pStyle w:val="MELegal2"/>
      </w:pPr>
      <w:bookmarkStart w:id="451" w:name="_Toc345578265"/>
      <w:bookmarkStart w:id="452" w:name="_Toc411870680"/>
      <w:r>
        <w:t>Reinstatement of Premises</w:t>
      </w:r>
      <w:bookmarkEnd w:id="451"/>
      <w:bookmarkEnd w:id="452"/>
    </w:p>
    <w:p w:rsidR="001B3D5D" w:rsidRDefault="004D5502">
      <w:pPr>
        <w:ind w:left="680"/>
      </w:pPr>
      <w:r>
        <w:t>If the Premises are wholly or substantially destroyed or damaged:</w:t>
      </w:r>
    </w:p>
    <w:p w:rsidR="001B3D5D" w:rsidRDefault="004D5502">
      <w:pPr>
        <w:pStyle w:val="MELegal3"/>
      </w:pPr>
      <w:r>
        <w:t>the Landlord is not obliged to r</w:t>
      </w:r>
      <w:r>
        <w:t>einstate the Premises; and</w:t>
      </w:r>
    </w:p>
    <w:p w:rsidR="001B3D5D" w:rsidRDefault="004D5502">
      <w:pPr>
        <w:pStyle w:val="MELegal3"/>
      </w:pPr>
      <w:bookmarkStart w:id="453" w:name="_Ref334545658"/>
      <w:r>
        <w:t>if the reinstatement does not start within a reasonable time or is not likely to be completed within nine (9) months, the Landlord or the Tenant may end this lease by giving the other written notice.</w:t>
      </w:r>
      <w:bookmarkEnd w:id="453"/>
    </w:p>
    <w:p w:rsidR="001B3D5D" w:rsidRDefault="004D5502">
      <w:pPr>
        <w:pStyle w:val="MELegal2"/>
      </w:pPr>
      <w:bookmarkStart w:id="454" w:name="_Toc345578266"/>
      <w:bookmarkStart w:id="455" w:name="_Toc411870681"/>
      <w:r>
        <w:t>No Suspension of Rent</w:t>
      </w:r>
      <w:bookmarkEnd w:id="454"/>
      <w:bookmarkEnd w:id="455"/>
    </w:p>
    <w:p w:rsidR="001B3D5D" w:rsidRDefault="004D5502">
      <w:pPr>
        <w:ind w:left="680"/>
      </w:pPr>
      <w:r>
        <w:t>The Ten</w:t>
      </w:r>
      <w:r>
        <w:t>ant will not be entitled to suspension of Rent under clause </w:t>
      </w:r>
      <w:r>
        <w:fldChar w:fldCharType="begin"/>
      </w:r>
      <w:r>
        <w:instrText xml:space="preserve"> REF _Ref334545644 \w \h  \* MERGEFORMAT </w:instrText>
      </w:r>
      <w:r>
        <w:fldChar w:fldCharType="separate"/>
      </w:r>
      <w:r>
        <w:t>14.1(a)</w:t>
      </w:r>
      <w:r>
        <w:fldChar w:fldCharType="end"/>
      </w:r>
      <w:r>
        <w:t xml:space="preserve"> nor to end this lease under clause </w:t>
      </w:r>
      <w:r>
        <w:fldChar w:fldCharType="begin"/>
      </w:r>
      <w:r>
        <w:instrText xml:space="preserve"> REF _Ref334545658 \w \h  \* MERGEFORMAT </w:instrText>
      </w:r>
      <w:r>
        <w:fldChar w:fldCharType="separate"/>
      </w:r>
      <w:r>
        <w:t>14.2(b)</w:t>
      </w:r>
      <w:r>
        <w:fldChar w:fldCharType="end"/>
      </w:r>
      <w:r>
        <w:t xml:space="preserve"> if payment of an insurance claim is properly refused in respect of the damage or destruction because of any act or omission by the Tenant or the Tenant's Agents.</w:t>
      </w:r>
    </w:p>
    <w:p w:rsidR="001B3D5D" w:rsidRDefault="004D5502">
      <w:pPr>
        <w:pStyle w:val="MELegal2"/>
      </w:pPr>
      <w:bookmarkStart w:id="456" w:name="_Toc345578267"/>
      <w:bookmarkStart w:id="457" w:name="_Toc411870682"/>
      <w:r>
        <w:t>Previous Breach</w:t>
      </w:r>
      <w:bookmarkEnd w:id="456"/>
      <w:bookmarkEnd w:id="457"/>
    </w:p>
    <w:p w:rsidR="001B3D5D" w:rsidRDefault="004D5502">
      <w:pPr>
        <w:ind w:left="680"/>
      </w:pPr>
      <w:r>
        <w:t>The r</w:t>
      </w:r>
      <w:r>
        <w:t>ights of either party will not be prejudiced in respect of any previous breach of the provisions of this lease.</w:t>
      </w:r>
    </w:p>
    <w:p w:rsidR="001B3D5D" w:rsidRDefault="004D5502">
      <w:pPr>
        <w:pStyle w:val="MELegal2"/>
      </w:pPr>
      <w:bookmarkStart w:id="458" w:name="_Toc345578268"/>
      <w:bookmarkStart w:id="459" w:name="_Toc411870683"/>
      <w:r>
        <w:lastRenderedPageBreak/>
        <w:t>No Obligation to Reinstate</w:t>
      </w:r>
      <w:bookmarkEnd w:id="458"/>
      <w:bookmarkEnd w:id="459"/>
    </w:p>
    <w:p w:rsidR="001B3D5D" w:rsidRDefault="004D5502">
      <w:pPr>
        <w:ind w:left="680"/>
      </w:pPr>
      <w:r>
        <w:t>Despite any provision in this clause </w:t>
      </w:r>
      <w:r>
        <w:fldChar w:fldCharType="begin"/>
      </w:r>
      <w:r>
        <w:instrText xml:space="preserve"> REF _Ref334604692 \r \h  \* MERGEFORMAT </w:instrText>
      </w:r>
      <w:r>
        <w:fldChar w:fldCharType="separate"/>
      </w:r>
      <w:r>
        <w:t>14</w:t>
      </w:r>
      <w:r>
        <w:fldChar w:fldCharType="end"/>
      </w:r>
      <w:r>
        <w:t>, the Landlord will not be obliged to reinstate the Premises, the Warehouse Land or the Market Land.</w:t>
      </w:r>
    </w:p>
    <w:p w:rsidR="001B3D5D" w:rsidRDefault="004D5502">
      <w:pPr>
        <w:pStyle w:val="MELegal2"/>
      </w:pPr>
      <w:bookmarkStart w:id="460" w:name="_Toc336352341"/>
      <w:bookmarkStart w:id="461" w:name="_Toc345578269"/>
      <w:bookmarkStart w:id="462" w:name="_Toc411870684"/>
      <w:r>
        <w:t>Liabilities on termination</w:t>
      </w:r>
      <w:bookmarkEnd w:id="460"/>
      <w:bookmarkEnd w:id="461"/>
      <w:bookmarkEnd w:id="462"/>
    </w:p>
    <w:p w:rsidR="001B3D5D" w:rsidRDefault="004D5502">
      <w:pPr>
        <w:ind w:left="709"/>
      </w:pPr>
      <w:r>
        <w:t>No liability will attach to the Landlord or to the Tenant as a result of termination of this lease</w:t>
      </w:r>
      <w:r>
        <w:t xml:space="preserve"> under this clause </w:t>
      </w:r>
      <w:r>
        <w:fldChar w:fldCharType="begin"/>
      </w:r>
      <w:r>
        <w:instrText xml:space="preserve"> REF _Ref334604692 \r \h  \* MERGEFORMAT </w:instrText>
      </w:r>
      <w:r>
        <w:fldChar w:fldCharType="separate"/>
      </w:r>
      <w:r>
        <w:t>14</w:t>
      </w:r>
      <w:r>
        <w:fldChar w:fldCharType="end"/>
      </w:r>
      <w:r>
        <w:t xml:space="preserve"> but that termination will not affect the rights of either party in respect of any preceding breach of this lease.</w:t>
      </w:r>
    </w:p>
    <w:p w:rsidR="001B3D5D" w:rsidRDefault="004D5502">
      <w:pPr>
        <w:pStyle w:val="MELegal2"/>
      </w:pPr>
      <w:bookmarkStart w:id="463" w:name="_Toc360548112"/>
      <w:bookmarkStart w:id="464" w:name="_Toc345578270"/>
      <w:bookmarkStart w:id="465" w:name="_Toc411870685"/>
      <w:bookmarkEnd w:id="463"/>
      <w:r>
        <w:t>Dispute</w:t>
      </w:r>
      <w:bookmarkEnd w:id="464"/>
      <w:bookmarkEnd w:id="465"/>
    </w:p>
    <w:p w:rsidR="001B3D5D" w:rsidRDefault="004D5502">
      <w:pPr>
        <w:ind w:left="680"/>
      </w:pPr>
      <w:r>
        <w:t xml:space="preserve">If </w:t>
      </w:r>
      <w:r>
        <w:t>there is any dispute under this clause </w:t>
      </w:r>
      <w:r>
        <w:fldChar w:fldCharType="begin"/>
      </w:r>
      <w:r>
        <w:instrText xml:space="preserve"> REF _Ref334604692 \r \h  \* MERGEFORMAT </w:instrText>
      </w:r>
      <w:r>
        <w:fldChar w:fldCharType="separate"/>
      </w:r>
      <w:r>
        <w:t>14</w:t>
      </w:r>
      <w:r>
        <w:fldChar w:fldCharType="end"/>
      </w:r>
      <w:r>
        <w:t xml:space="preserve">, either party may request the President of the Australian Property Institute, Victorian Division, to </w:t>
      </w:r>
      <w:r>
        <w:t>nominate a practising valuer member of that Institute to determine the dispute.  The valuer acts as an expert and not as an arbitrator and the determination is binding.</w:t>
      </w:r>
    </w:p>
    <w:p w:rsidR="001B3D5D" w:rsidRDefault="004D5502">
      <w:pPr>
        <w:pStyle w:val="MELegal1"/>
      </w:pPr>
      <w:bookmarkStart w:id="466" w:name="_Toc334110459"/>
      <w:bookmarkStart w:id="467" w:name="_Toc345578271"/>
      <w:bookmarkStart w:id="468" w:name="_Toc411870686"/>
      <w:bookmarkEnd w:id="445"/>
      <w:bookmarkEnd w:id="446"/>
      <w:r>
        <w:t>Notices</w:t>
      </w:r>
      <w:bookmarkEnd w:id="447"/>
      <w:bookmarkEnd w:id="466"/>
      <w:bookmarkEnd w:id="467"/>
      <w:bookmarkEnd w:id="468"/>
    </w:p>
    <w:p w:rsidR="001B3D5D" w:rsidRDefault="004D5502">
      <w:pPr>
        <w:pStyle w:val="MELegal2"/>
      </w:pPr>
      <w:bookmarkStart w:id="469" w:name="_Ref467658973"/>
      <w:bookmarkStart w:id="470" w:name="_Ref467658981"/>
      <w:bookmarkStart w:id="471" w:name="_Toc334110460"/>
      <w:bookmarkStart w:id="472" w:name="_Toc345578272"/>
      <w:bookmarkStart w:id="473" w:name="_Toc411870687"/>
      <w:r>
        <w:t>Method of service</w:t>
      </w:r>
      <w:bookmarkEnd w:id="469"/>
      <w:bookmarkEnd w:id="470"/>
      <w:bookmarkEnd w:id="471"/>
      <w:bookmarkEnd w:id="472"/>
      <w:bookmarkEnd w:id="473"/>
    </w:p>
    <w:p w:rsidR="001B3D5D" w:rsidRDefault="004D5502">
      <w:pPr>
        <w:ind w:left="680"/>
      </w:pPr>
      <w:r>
        <w:t>Any notice to be given under this lease by one of the parties</w:t>
      </w:r>
      <w:r>
        <w:t xml:space="preserve"> to the other must be in writing and is given for all purposes by delivery in person or by pre-paid post addressed to the receiving party at the address specified in the notice details in the Information table or in the case of the Tenant, by sending the n</w:t>
      </w:r>
      <w:r>
        <w:t>otice by pre-paid post to the Tenant's last known address or leaving it at the Premises or at the Tenant's Post Box.</w:t>
      </w:r>
    </w:p>
    <w:p w:rsidR="001B3D5D" w:rsidRDefault="004D5502">
      <w:pPr>
        <w:pStyle w:val="MELegal2"/>
      </w:pPr>
      <w:bookmarkStart w:id="474" w:name="_Toc334110461"/>
      <w:bookmarkStart w:id="475" w:name="_Toc345578273"/>
      <w:bookmarkStart w:id="476" w:name="_Toc411870688"/>
      <w:r>
        <w:t>Time of service</w:t>
      </w:r>
      <w:bookmarkEnd w:id="474"/>
      <w:bookmarkEnd w:id="475"/>
      <w:bookmarkEnd w:id="476"/>
    </w:p>
    <w:p w:rsidR="001B3D5D" w:rsidRDefault="004D5502">
      <w:pPr>
        <w:ind w:left="680"/>
      </w:pPr>
      <w:r>
        <w:t>Any notice given in accordance with this lease will be deemed to have been duly served:</w:t>
      </w:r>
    </w:p>
    <w:p w:rsidR="001B3D5D" w:rsidRDefault="004D5502">
      <w:pPr>
        <w:pStyle w:val="MELegal3"/>
      </w:pPr>
      <w:r>
        <w:t xml:space="preserve">in the case of posting at the </w:t>
      </w:r>
      <w:r>
        <w:t>expiration of 2 Business Days after the date of posting;</w:t>
      </w:r>
    </w:p>
    <w:p w:rsidR="001B3D5D" w:rsidRDefault="004D5502">
      <w:pPr>
        <w:pStyle w:val="MELegal3"/>
      </w:pPr>
      <w:r>
        <w:t>in the case of leaving it at the Premises, that day; and</w:t>
      </w:r>
    </w:p>
    <w:p w:rsidR="001B3D5D" w:rsidRDefault="004D5502">
      <w:pPr>
        <w:pStyle w:val="MELegal3"/>
      </w:pPr>
      <w:r>
        <w:t>in the case of leaving at the Tenant's Post Box, on the first Business Day after the notice has been left at the Tenant's Post Box.</w:t>
      </w:r>
    </w:p>
    <w:p w:rsidR="001B3D5D" w:rsidRDefault="004D5502">
      <w:pPr>
        <w:pStyle w:val="MELegal2"/>
      </w:pPr>
      <w:bookmarkStart w:id="477" w:name="_Toc334110462"/>
      <w:bookmarkStart w:id="478" w:name="_Toc345578274"/>
      <w:bookmarkStart w:id="479" w:name="_Toc411870689"/>
      <w:r>
        <w:t xml:space="preserve">Change of </w:t>
      </w:r>
      <w:r>
        <w:t>address</w:t>
      </w:r>
      <w:bookmarkEnd w:id="477"/>
      <w:bookmarkEnd w:id="478"/>
      <w:bookmarkEnd w:id="479"/>
    </w:p>
    <w:p w:rsidR="001B3D5D" w:rsidRDefault="004D5502">
      <w:pPr>
        <w:ind w:left="680"/>
      </w:pPr>
      <w:r>
        <w:t>A party may at any time change its address or postal address by giving notice to the other party.</w:t>
      </w:r>
    </w:p>
    <w:p w:rsidR="001B3D5D" w:rsidRDefault="004D5502">
      <w:pPr>
        <w:pStyle w:val="MELegal1"/>
      </w:pPr>
      <w:bookmarkStart w:id="480" w:name="_Ref315855192"/>
      <w:bookmarkStart w:id="481" w:name="_Toc334110463"/>
      <w:bookmarkStart w:id="482" w:name="_Toc345578275"/>
      <w:bookmarkStart w:id="483" w:name="_Toc411870690"/>
      <w:r>
        <w:t>Assignment and subletting</w:t>
      </w:r>
      <w:bookmarkEnd w:id="480"/>
      <w:bookmarkEnd w:id="481"/>
      <w:bookmarkEnd w:id="482"/>
      <w:bookmarkEnd w:id="483"/>
    </w:p>
    <w:p w:rsidR="001B3D5D" w:rsidRDefault="004D5502">
      <w:pPr>
        <w:pStyle w:val="MELegal2"/>
      </w:pPr>
      <w:bookmarkStart w:id="484" w:name="_Ref315779359"/>
      <w:bookmarkStart w:id="485" w:name="_Ref315779529"/>
      <w:bookmarkStart w:id="486" w:name="_Toc320024610"/>
      <w:bookmarkStart w:id="487" w:name="_Toc334110464"/>
      <w:bookmarkStart w:id="488" w:name="_Toc345578276"/>
      <w:bookmarkStart w:id="489" w:name="_Toc411870691"/>
      <w:r>
        <w:t>Transfers and Dealings</w:t>
      </w:r>
      <w:bookmarkEnd w:id="484"/>
      <w:bookmarkEnd w:id="485"/>
      <w:bookmarkEnd w:id="486"/>
      <w:bookmarkEnd w:id="487"/>
      <w:bookmarkEnd w:id="488"/>
      <w:bookmarkEnd w:id="489"/>
    </w:p>
    <w:p w:rsidR="001B3D5D" w:rsidRDefault="004D5502">
      <w:pPr>
        <w:ind w:left="680"/>
      </w:pPr>
      <w:r>
        <w:t>The Tenant must not assign, licence, part with, share the possession of, grant any mortgage, charge o</w:t>
      </w:r>
      <w:r>
        <w:t xml:space="preserve">r otherwise deal with the Premises or this lease without the prior written consent of the Landlord (which the Landlord must not unreasonably withhold in the case of assignment to a related body corporate (as that term is defined in the </w:t>
      </w:r>
      <w:r>
        <w:rPr>
          <w:i/>
        </w:rPr>
        <w:t>Corporations Act 200</w:t>
      </w:r>
      <w:r>
        <w:rPr>
          <w:i/>
        </w:rPr>
        <w:t xml:space="preserve">1 </w:t>
      </w:r>
      <w:r>
        <w:t xml:space="preserve">(Cth)) of the Tenant).  </w:t>
      </w:r>
    </w:p>
    <w:p w:rsidR="001B3D5D" w:rsidRDefault="004D5502">
      <w:pPr>
        <w:pStyle w:val="MELegal2"/>
      </w:pPr>
      <w:bookmarkStart w:id="490" w:name="_Ref315779534"/>
      <w:bookmarkStart w:id="491" w:name="_Toc320024611"/>
      <w:bookmarkStart w:id="492" w:name="_Toc334110465"/>
      <w:bookmarkStart w:id="493" w:name="_Toc345578277"/>
      <w:bookmarkStart w:id="494" w:name="_Toc411870692"/>
      <w:bookmarkStart w:id="495" w:name="_Ref157486900"/>
      <w:bookmarkStart w:id="496" w:name="_Ref157486993"/>
      <w:r>
        <w:t>Assignment</w:t>
      </w:r>
      <w:bookmarkEnd w:id="490"/>
      <w:bookmarkEnd w:id="491"/>
      <w:bookmarkEnd w:id="492"/>
      <w:bookmarkEnd w:id="493"/>
      <w:bookmarkEnd w:id="494"/>
      <w:r>
        <w:t xml:space="preserve"> </w:t>
      </w:r>
      <w:bookmarkEnd w:id="495"/>
      <w:bookmarkEnd w:id="496"/>
    </w:p>
    <w:p w:rsidR="001B3D5D" w:rsidRDefault="004D5502">
      <w:pPr>
        <w:pStyle w:val="MELegal3"/>
      </w:pPr>
      <w:r>
        <w:t>The Landlord will not unreasonably withhold its consent to the Tenant assigning this lease if the following conditions are satisfied:</w:t>
      </w:r>
    </w:p>
    <w:p w:rsidR="001B3D5D" w:rsidRDefault="004D5502">
      <w:pPr>
        <w:pStyle w:val="MELegal4"/>
      </w:pPr>
      <w:r>
        <w:t xml:space="preserve">at the time the Tenant notifies the Landlord in writing of its wish to assign this </w:t>
      </w:r>
      <w:r>
        <w:t>lease, the Tenant has remedied any breach of this lease, notice of which has been given to the Tenant;</w:t>
      </w:r>
    </w:p>
    <w:p w:rsidR="001B3D5D" w:rsidRDefault="004D5502">
      <w:pPr>
        <w:pStyle w:val="MELegal4"/>
      </w:pPr>
      <w:r>
        <w:lastRenderedPageBreak/>
        <w:t>the Tenant provides the Landlord with a copy of the fully executed business sale contract relating to the transfer of the business conducted by the Tenan</w:t>
      </w:r>
      <w:r>
        <w:t xml:space="preserve">t at the Warehouse Land or, if acceptable to the Landlord, details of those items of the Tenant's business which are being transferred to the new tenant; </w:t>
      </w:r>
    </w:p>
    <w:p w:rsidR="001B3D5D" w:rsidRDefault="004D5502">
      <w:pPr>
        <w:pStyle w:val="MELegal4"/>
      </w:pPr>
      <w:r>
        <w:t xml:space="preserve">the Tenant pays the reasonable Costs and disbursements incurred by the Landlord of and incidental to </w:t>
      </w:r>
      <w:r>
        <w:t xml:space="preserve">its consent including any reasonable legal costs associated with giving its consent or giving effect to its consent; </w:t>
      </w:r>
    </w:p>
    <w:p w:rsidR="001B3D5D" w:rsidRDefault="004D5502">
      <w:pPr>
        <w:pStyle w:val="MELegal4"/>
      </w:pPr>
      <w:r>
        <w:t>the Tenant satisfies the Landlord that the proposed new tenant is financially sound and capable of fulfilling the Tenant's obligations und</w:t>
      </w:r>
      <w:r>
        <w:t>er this lease;</w:t>
      </w:r>
    </w:p>
    <w:p w:rsidR="001B3D5D" w:rsidRDefault="004D5502">
      <w:pPr>
        <w:pStyle w:val="MELegal4"/>
      </w:pPr>
      <w:r>
        <w:t>the proposed new tenant:</w:t>
      </w:r>
    </w:p>
    <w:p w:rsidR="001B3D5D" w:rsidRDefault="004D5502">
      <w:pPr>
        <w:pStyle w:val="MELegal5"/>
      </w:pPr>
      <w:r>
        <w:t>enters into an agreement with the Landlord and the Tenant in the form required by the Landlord that he or she will comply with the provisions of this lease; and</w:t>
      </w:r>
    </w:p>
    <w:p w:rsidR="001B3D5D" w:rsidRDefault="004D5502">
      <w:pPr>
        <w:pStyle w:val="MELegal5"/>
      </w:pPr>
      <w:r>
        <w:t>provides any bank guarantee and/or guarantee and indemn</w:t>
      </w:r>
      <w:r>
        <w:t>ity required by the Landlord; and</w:t>
      </w:r>
    </w:p>
    <w:p w:rsidR="001B3D5D" w:rsidRDefault="004D5502">
      <w:pPr>
        <w:pStyle w:val="MELegal4"/>
      </w:pPr>
      <w:r>
        <w:t>the Tenant has obtained any consent which the Tenant is obliged to obtain.</w:t>
      </w:r>
    </w:p>
    <w:p w:rsidR="001B3D5D" w:rsidRDefault="004D5502">
      <w:pPr>
        <w:pStyle w:val="MELegal3"/>
      </w:pPr>
      <w:r>
        <w:t xml:space="preserve">If the Tenant assigns or otherwise deals with the Premises or this lease under this clause </w:t>
      </w:r>
      <w:r>
        <w:fldChar w:fldCharType="begin"/>
      </w:r>
      <w:r>
        <w:instrText xml:space="preserve"> REF _Ref315855192 \r \h  \* MERGEFORMAT </w:instrText>
      </w:r>
      <w:r>
        <w:fldChar w:fldCharType="separate"/>
      </w:r>
      <w:r>
        <w:t>16</w:t>
      </w:r>
      <w:r>
        <w:fldChar w:fldCharType="end"/>
      </w:r>
      <w:r>
        <w:t>, the Tenant will, except to the extent liability has been accepted in writing by the assignee in favour of the Landlord:</w:t>
      </w:r>
    </w:p>
    <w:p w:rsidR="001B3D5D" w:rsidRDefault="004D5502">
      <w:pPr>
        <w:pStyle w:val="MELegal4"/>
      </w:pPr>
      <w:r>
        <w:t xml:space="preserve">remain liable under this lease; and </w:t>
      </w:r>
    </w:p>
    <w:p w:rsidR="001B3D5D" w:rsidRDefault="004D5502">
      <w:pPr>
        <w:pStyle w:val="MELegal4"/>
      </w:pPr>
      <w:r>
        <w:t>not be released from its obligations whethe</w:t>
      </w:r>
      <w:r>
        <w:t>r in respect of past, present or future breaches of the Tenant's obligations under this lease,</w:t>
      </w:r>
    </w:p>
    <w:p w:rsidR="001B3D5D" w:rsidRDefault="004D5502">
      <w:pPr>
        <w:pStyle w:val="MELegal4"/>
      </w:pPr>
      <w:r>
        <w:t>until the end of the then current Term.</w:t>
      </w:r>
    </w:p>
    <w:p w:rsidR="001B3D5D" w:rsidRDefault="004D5502">
      <w:pPr>
        <w:pStyle w:val="MELegal2"/>
      </w:pPr>
      <w:bookmarkStart w:id="497" w:name="_Ref157487022"/>
      <w:bookmarkStart w:id="498" w:name="_Toc320024612"/>
      <w:bookmarkStart w:id="499" w:name="_Toc334110466"/>
      <w:bookmarkStart w:id="500" w:name="_Toc345578278"/>
      <w:bookmarkStart w:id="501" w:name="_Toc411870693"/>
      <w:r>
        <w:t>Change in control of the Tenant</w:t>
      </w:r>
      <w:bookmarkEnd w:id="497"/>
      <w:bookmarkEnd w:id="498"/>
      <w:bookmarkEnd w:id="499"/>
      <w:bookmarkEnd w:id="500"/>
      <w:bookmarkEnd w:id="501"/>
    </w:p>
    <w:p w:rsidR="001B3D5D" w:rsidRDefault="004D5502">
      <w:pPr>
        <w:keepNext/>
        <w:ind w:left="680"/>
      </w:pPr>
      <w:r>
        <w:t>If:</w:t>
      </w:r>
    </w:p>
    <w:p w:rsidR="001B3D5D" w:rsidRDefault="004D5502">
      <w:pPr>
        <w:pStyle w:val="MELegal3"/>
      </w:pPr>
      <w:r>
        <w:t>the Tenant is a company which is neither listed nor wholly owned by a company which i</w:t>
      </w:r>
      <w:r>
        <w:t>s listed on the Australian Securities Exchange; and</w:t>
      </w:r>
    </w:p>
    <w:p w:rsidR="001B3D5D" w:rsidRDefault="004D5502">
      <w:pPr>
        <w:pStyle w:val="MELegal3"/>
      </w:pPr>
      <w:r>
        <w:t>there is a proposed change in:</w:t>
      </w:r>
    </w:p>
    <w:p w:rsidR="001B3D5D" w:rsidRDefault="004D5502">
      <w:pPr>
        <w:pStyle w:val="MELegal4"/>
      </w:pPr>
      <w:r>
        <w:t xml:space="preserve">the membership of the Tenant or its holding company; </w:t>
      </w:r>
    </w:p>
    <w:p w:rsidR="001B3D5D" w:rsidRDefault="004D5502">
      <w:pPr>
        <w:pStyle w:val="MELegal4"/>
      </w:pPr>
      <w:r>
        <w:t>the beneficial ownership of the shares in the Tenant or its holding company; or</w:t>
      </w:r>
    </w:p>
    <w:p w:rsidR="001B3D5D" w:rsidRDefault="004D5502">
      <w:pPr>
        <w:pStyle w:val="MELegal4"/>
      </w:pPr>
      <w:r>
        <w:t xml:space="preserve">the beneficial ownership of the </w:t>
      </w:r>
      <w:r>
        <w:t>business or assets of the Tenant,</w:t>
      </w:r>
    </w:p>
    <w:p w:rsidR="001B3D5D" w:rsidRDefault="004D5502">
      <w:pPr>
        <w:pStyle w:val="MELegal3"/>
      </w:pPr>
      <w:r>
        <w:tab/>
        <w:t>so that a different person or group of persons will control the composition of the board of directors or more than 50% of the shares giving a right to vote at general meetings,</w:t>
      </w:r>
    </w:p>
    <w:p w:rsidR="001B3D5D" w:rsidRDefault="004D5502">
      <w:pPr>
        <w:ind w:left="680"/>
      </w:pPr>
      <w:r>
        <w:t xml:space="preserve">then: </w:t>
      </w:r>
    </w:p>
    <w:p w:rsidR="001B3D5D" w:rsidRDefault="004D5502">
      <w:pPr>
        <w:pStyle w:val="MELegal3"/>
      </w:pPr>
      <w:r>
        <w:t>that proposed change in control is tr</w:t>
      </w:r>
      <w:r>
        <w:t xml:space="preserve">eated as a proposed assignment of this lease which requires the Landlord's prior written consent in accordance with clauses </w:t>
      </w:r>
      <w:r>
        <w:fldChar w:fldCharType="begin"/>
      </w:r>
      <w:r>
        <w:instrText xml:space="preserve"> REF _Ref315779529 \n \h  \* MERGEFORMAT </w:instrText>
      </w:r>
      <w:r>
        <w:fldChar w:fldCharType="separate"/>
      </w:r>
      <w:r>
        <w:t>16.1</w:t>
      </w:r>
      <w:r>
        <w:fldChar w:fldCharType="end"/>
      </w:r>
      <w:r>
        <w:t xml:space="preserve"> and </w:t>
      </w:r>
      <w:r>
        <w:fldChar w:fldCharType="begin"/>
      </w:r>
      <w:r>
        <w:instrText xml:space="preserve"> REF _Ref315779534 \n \h  \* MERGEFORMAT </w:instrText>
      </w:r>
      <w:r>
        <w:fldChar w:fldCharType="separate"/>
      </w:r>
      <w:r>
        <w:t>16.2</w:t>
      </w:r>
      <w:r>
        <w:fldChar w:fldCharType="end"/>
      </w:r>
      <w:r>
        <w:t xml:space="preserve">; and </w:t>
      </w:r>
    </w:p>
    <w:p w:rsidR="001B3D5D" w:rsidRDefault="004D5502">
      <w:pPr>
        <w:pStyle w:val="MELegal3"/>
      </w:pPr>
      <w:r>
        <w:t>the person or group of persons acquiring control is treated as the proposed new tenant.</w:t>
      </w:r>
    </w:p>
    <w:p w:rsidR="001B3D5D" w:rsidRDefault="004D5502">
      <w:pPr>
        <w:pStyle w:val="MELegal2"/>
      </w:pPr>
      <w:bookmarkStart w:id="502" w:name="_Toc320024613"/>
      <w:bookmarkStart w:id="503" w:name="_Toc334110467"/>
      <w:bookmarkStart w:id="504" w:name="_Toc345578279"/>
      <w:bookmarkStart w:id="505" w:name="_Toc411870694"/>
      <w:r>
        <w:lastRenderedPageBreak/>
        <w:t>Landlord's Rights on Deemed Assignments</w:t>
      </w:r>
      <w:bookmarkEnd w:id="502"/>
      <w:bookmarkEnd w:id="503"/>
      <w:bookmarkEnd w:id="504"/>
      <w:bookmarkEnd w:id="505"/>
    </w:p>
    <w:p w:rsidR="001B3D5D" w:rsidRDefault="004D5502">
      <w:pPr>
        <w:ind w:left="680"/>
      </w:pPr>
      <w:r>
        <w:t>The Landlor</w:t>
      </w:r>
      <w:r>
        <w:t>d may, within 30 days of becoming aware of any of the events listed in clause </w:t>
      </w:r>
      <w:r>
        <w:fldChar w:fldCharType="begin"/>
      </w:r>
      <w:r>
        <w:instrText xml:space="preserve"> REF _Ref157487022 \w \h  \* MERGEFORMAT </w:instrText>
      </w:r>
      <w:r>
        <w:fldChar w:fldCharType="separate"/>
      </w:r>
      <w:r>
        <w:t>16.3</w:t>
      </w:r>
      <w:r>
        <w:fldChar w:fldCharType="end"/>
      </w:r>
      <w:r>
        <w:t xml:space="preserve"> occurring to which the Landlord has not consented, either:</w:t>
      </w:r>
    </w:p>
    <w:p w:rsidR="001B3D5D" w:rsidRDefault="004D5502">
      <w:pPr>
        <w:pStyle w:val="DefinitionL3"/>
      </w:pPr>
      <w:r>
        <w:t>consen</w:t>
      </w:r>
      <w:r>
        <w:t xml:space="preserve">t to the change of control in accordance with the provisions of clauses </w:t>
      </w:r>
      <w:r>
        <w:fldChar w:fldCharType="begin"/>
      </w:r>
      <w:r>
        <w:instrText xml:space="preserve"> REF _Ref315779529 \n \h  \* MERGEFORMAT </w:instrText>
      </w:r>
      <w:r>
        <w:fldChar w:fldCharType="separate"/>
      </w:r>
      <w:r>
        <w:t>16.1</w:t>
      </w:r>
      <w:r>
        <w:fldChar w:fldCharType="end"/>
      </w:r>
      <w:r>
        <w:t xml:space="preserve"> and </w:t>
      </w:r>
      <w:r>
        <w:fldChar w:fldCharType="begin"/>
      </w:r>
      <w:r>
        <w:instrText xml:space="preserve"> REF _Ref157486993 \w \h  \* MERGEFORMAT </w:instrText>
      </w:r>
      <w:r>
        <w:fldChar w:fldCharType="separate"/>
      </w:r>
      <w:r>
        <w:t>16.2</w:t>
      </w:r>
      <w:r>
        <w:fldChar w:fldCharType="end"/>
      </w:r>
      <w:r>
        <w:t>; or</w:t>
      </w:r>
    </w:p>
    <w:p w:rsidR="001B3D5D" w:rsidRDefault="004D5502">
      <w:pPr>
        <w:pStyle w:val="DefinitionL3"/>
      </w:pPr>
      <w:r>
        <w:t xml:space="preserve">require the Tenant to obtain the Landlord's consent to the change of control or reverse the change within a period notified by the Landlord (which period cannot be less than 10 Business Days). </w:t>
      </w:r>
    </w:p>
    <w:p w:rsidR="001B3D5D" w:rsidRDefault="004D5502">
      <w:pPr>
        <w:pStyle w:val="MELegal3"/>
      </w:pPr>
      <w:r>
        <w:t>If the Tena</w:t>
      </w:r>
      <w:r>
        <w:t xml:space="preserve">nt fails to obtain the Landlord's consent to the change of control or reverse the change within the period notified by the Landlord, the Landlord may terminate this lease by giving written notice to the Tenant. </w:t>
      </w:r>
    </w:p>
    <w:p w:rsidR="001B3D5D" w:rsidRDefault="004D5502">
      <w:pPr>
        <w:ind w:left="680"/>
      </w:pPr>
      <w:r>
        <w:t>Termination under this clause does not affec</w:t>
      </w:r>
      <w:r>
        <w:t>t the rights of the Landlord against the Tenant for any antecedent breach by the Tenant of its obligations under this lease.</w:t>
      </w:r>
    </w:p>
    <w:p w:rsidR="001B3D5D" w:rsidRDefault="004D5502">
      <w:pPr>
        <w:pStyle w:val="MELegal2"/>
      </w:pPr>
      <w:bookmarkStart w:id="506" w:name="_Toc345578280"/>
      <w:bookmarkStart w:id="507" w:name="_Toc411870695"/>
      <w:bookmarkStart w:id="508" w:name="_Ref323280738"/>
      <w:bookmarkStart w:id="509" w:name="_Toc334110468"/>
      <w:r>
        <w:t>Increase of Rent on subletting</w:t>
      </w:r>
      <w:bookmarkEnd w:id="506"/>
      <w:bookmarkEnd w:id="507"/>
      <w:r>
        <w:t xml:space="preserve"> </w:t>
      </w:r>
    </w:p>
    <w:p w:rsidR="001B3D5D" w:rsidRDefault="004D5502">
      <w:pPr>
        <w:ind w:left="680"/>
      </w:pPr>
      <w:r>
        <w:t>Despite anything else in this lease if the Tenant sublets any part of the Premises to a third party</w:t>
      </w:r>
      <w:r>
        <w:t xml:space="preserve">, the Landlord may, by prior written notice to the Tenant and as a condition of giving its consent to the sublease under clause </w:t>
      </w:r>
      <w:r>
        <w:fldChar w:fldCharType="begin"/>
      </w:r>
      <w:r>
        <w:instrText xml:space="preserve"> REF _Ref315779529 \n \h  \* MERGEFORMAT </w:instrText>
      </w:r>
      <w:r>
        <w:fldChar w:fldCharType="separate"/>
      </w:r>
      <w:r>
        <w:t>16.1</w:t>
      </w:r>
      <w:r>
        <w:fldChar w:fldCharType="end"/>
      </w:r>
      <w:r>
        <w:t>, increase the t</w:t>
      </w:r>
      <w:r>
        <w:t xml:space="preserve">hen current Rent by an amount not exceeding 7.5% for the period of the subletting. </w:t>
      </w:r>
    </w:p>
    <w:p w:rsidR="001B3D5D" w:rsidRDefault="004D5502">
      <w:pPr>
        <w:pStyle w:val="MELegal2"/>
      </w:pPr>
      <w:bookmarkStart w:id="510" w:name="_Toc340496494"/>
      <w:bookmarkStart w:id="511" w:name="_Ref341172513"/>
      <w:bookmarkStart w:id="512" w:name="_Toc345578281"/>
      <w:bookmarkStart w:id="513" w:name="_Ref356987347"/>
      <w:bookmarkStart w:id="514" w:name="_Toc411870696"/>
      <w:bookmarkEnd w:id="510"/>
      <w:r>
        <w:t>Using this lease etc as security</w:t>
      </w:r>
      <w:bookmarkEnd w:id="508"/>
      <w:bookmarkEnd w:id="509"/>
      <w:bookmarkEnd w:id="511"/>
      <w:bookmarkEnd w:id="512"/>
      <w:bookmarkEnd w:id="513"/>
      <w:bookmarkEnd w:id="514"/>
    </w:p>
    <w:p w:rsidR="001B3D5D" w:rsidRDefault="004D5502">
      <w:pPr>
        <w:pStyle w:val="MELegal3"/>
      </w:pPr>
      <w:r>
        <w:t>The Tenant must get the Landlord's consent (which must not be unreasonably withheld) before the Tenant creates or allows to come into exist</w:t>
      </w:r>
      <w:r>
        <w:t xml:space="preserve">ence a Security which is not a Permitted Security affecting the Tenant's Fixtures or this lease. The Landlord may impose reasonable conditions if the Landlord gives consent. </w:t>
      </w:r>
    </w:p>
    <w:p w:rsidR="001B3D5D" w:rsidRDefault="004D5502">
      <w:pPr>
        <w:pStyle w:val="MELegal3"/>
      </w:pPr>
      <w:r>
        <w:t>The Tenant must not grant Security over the Landlord's Fixtures, but it may in th</w:t>
      </w:r>
      <w:r>
        <w:t xml:space="preserve">e ordinary course of business grant a general security agreement over all of its other assets and undertaking. </w:t>
      </w:r>
    </w:p>
    <w:p w:rsidR="001B3D5D" w:rsidRDefault="004D5502">
      <w:pPr>
        <w:pStyle w:val="MELegal3"/>
      </w:pPr>
      <w:r>
        <w:t>In this clause </w:t>
      </w:r>
      <w:r>
        <w:fldChar w:fldCharType="begin"/>
      </w:r>
      <w:r>
        <w:instrText xml:space="preserve"> REF _Ref356987347 \r \h </w:instrText>
      </w:r>
      <w:r>
        <w:fldChar w:fldCharType="separate"/>
      </w:r>
      <w:r>
        <w:t>16.6</w:t>
      </w:r>
      <w:r>
        <w:fldChar w:fldCharType="end"/>
      </w:r>
      <w:r>
        <w:t xml:space="preserve">, </w:t>
      </w:r>
      <w:r>
        <w:rPr>
          <w:b/>
        </w:rPr>
        <w:t xml:space="preserve">Permitted Security </w:t>
      </w:r>
      <w:r>
        <w:t>means:</w:t>
      </w:r>
    </w:p>
    <w:p w:rsidR="001B3D5D" w:rsidRDefault="004D5502">
      <w:pPr>
        <w:pStyle w:val="MELegal4"/>
      </w:pPr>
      <w:r>
        <w:t xml:space="preserve">the </w:t>
      </w:r>
      <w:r>
        <w:t xml:space="preserve">interest of a supplier who delivers stock or other goods to the Tenant, in that stock or other goods; </w:t>
      </w:r>
    </w:p>
    <w:p w:rsidR="001B3D5D" w:rsidRDefault="004D5502">
      <w:pPr>
        <w:pStyle w:val="MELegal4"/>
      </w:pPr>
      <w:r>
        <w:t xml:space="preserve">a Security taken in property to the extent that it secures all or part of its purchase price; </w:t>
      </w:r>
    </w:p>
    <w:p w:rsidR="001B3D5D" w:rsidRDefault="004D5502">
      <w:pPr>
        <w:pStyle w:val="MELegal4"/>
      </w:pPr>
      <w:r>
        <w:t xml:space="preserve">the interest of a lessor or bailor under a PPS Lease; </w:t>
      </w:r>
    </w:p>
    <w:p w:rsidR="001B3D5D" w:rsidRDefault="004D5502">
      <w:pPr>
        <w:pStyle w:val="MELegal4"/>
      </w:pPr>
      <w:r>
        <w:t>any</w:t>
      </w:r>
      <w:r>
        <w:t xml:space="preserve"> Security advised to the Landlord by notice from the Tenant before entering into this lease and agreed to by the Landlord in writing; or</w:t>
      </w:r>
    </w:p>
    <w:p w:rsidR="001B3D5D" w:rsidRDefault="004D5502">
      <w:pPr>
        <w:pStyle w:val="MELegal4"/>
      </w:pPr>
      <w:r>
        <w:t>any Security created subsequently with the prior written consent of the Landlord and in respect of which the Tenant's f</w:t>
      </w:r>
      <w:r>
        <w:t xml:space="preserve">inancier enters into an agreement with the Landlord prepared by the Landlord at the Tenant's Cost and otherwise on terms and conditions satisfactory to the Landlord. </w:t>
      </w:r>
    </w:p>
    <w:p w:rsidR="001B3D5D" w:rsidRDefault="004D5502">
      <w:pPr>
        <w:pStyle w:val="MELegal2"/>
      </w:pPr>
      <w:bookmarkStart w:id="515" w:name="_Toc411870697"/>
      <w:r>
        <w:t>No Subleasing</w:t>
      </w:r>
      <w:bookmarkEnd w:id="515"/>
    </w:p>
    <w:p w:rsidR="001B3D5D" w:rsidRDefault="004D5502">
      <w:pPr>
        <w:pStyle w:val="MELegal4"/>
      </w:pPr>
      <w:r>
        <w:t xml:space="preserve">The Tenant is prohibited from subletting the Premises or any part thereof </w:t>
      </w:r>
      <w:r>
        <w:t>to any third party,</w:t>
      </w:r>
    </w:p>
    <w:p w:rsidR="001B3D5D" w:rsidRDefault="004D5502">
      <w:pPr>
        <w:pStyle w:val="MELegal1"/>
      </w:pPr>
      <w:bookmarkStart w:id="516" w:name="_Toc157500023"/>
      <w:bookmarkStart w:id="517" w:name="_Toc158003643"/>
      <w:bookmarkStart w:id="518" w:name="_Ref315860551"/>
      <w:bookmarkStart w:id="519" w:name="_Ref320027223"/>
      <w:bookmarkStart w:id="520" w:name="_Ref320027226"/>
      <w:bookmarkStart w:id="521" w:name="_Ref320027229"/>
      <w:bookmarkStart w:id="522" w:name="_Ref320027420"/>
      <w:bookmarkStart w:id="523" w:name="_Toc334110470"/>
      <w:bookmarkStart w:id="524" w:name="_Ref342299176"/>
      <w:bookmarkStart w:id="525" w:name="_Ref342299179"/>
      <w:bookmarkStart w:id="526" w:name="_Toc345578282"/>
      <w:bookmarkStart w:id="527" w:name="_Toc411870698"/>
      <w:bookmarkStart w:id="528" w:name="_Ref136260534"/>
      <w:r>
        <w:lastRenderedPageBreak/>
        <w:t>Security Amount</w:t>
      </w:r>
      <w:bookmarkEnd w:id="516"/>
      <w:bookmarkEnd w:id="517"/>
      <w:bookmarkEnd w:id="518"/>
      <w:bookmarkEnd w:id="519"/>
      <w:bookmarkEnd w:id="520"/>
      <w:bookmarkEnd w:id="521"/>
      <w:bookmarkEnd w:id="522"/>
      <w:bookmarkEnd w:id="523"/>
      <w:bookmarkEnd w:id="524"/>
      <w:bookmarkEnd w:id="525"/>
      <w:bookmarkEnd w:id="526"/>
      <w:bookmarkEnd w:id="527"/>
    </w:p>
    <w:p w:rsidR="001B3D5D" w:rsidRDefault="004D5502">
      <w:pPr>
        <w:pStyle w:val="MELegal2"/>
      </w:pPr>
      <w:bookmarkStart w:id="529" w:name="_Toc141602896"/>
      <w:bookmarkStart w:id="530" w:name="_Toc157500024"/>
      <w:bookmarkStart w:id="531" w:name="_Toc158003644"/>
      <w:bookmarkStart w:id="532" w:name="_Toc334110471"/>
      <w:bookmarkStart w:id="533" w:name="_Toc345578283"/>
      <w:bookmarkStart w:id="534" w:name="_Ref374108240"/>
      <w:bookmarkStart w:id="535" w:name="_Toc411870699"/>
      <w:r>
        <w:t>Security Amount</w:t>
      </w:r>
      <w:bookmarkEnd w:id="529"/>
      <w:bookmarkEnd w:id="530"/>
      <w:bookmarkEnd w:id="531"/>
      <w:bookmarkEnd w:id="532"/>
      <w:bookmarkEnd w:id="533"/>
      <w:bookmarkEnd w:id="534"/>
      <w:bookmarkEnd w:id="535"/>
    </w:p>
    <w:p w:rsidR="001B3D5D" w:rsidRDefault="004D5502">
      <w:pPr>
        <w:pStyle w:val="MELegal3"/>
      </w:pPr>
      <w:r>
        <w:t xml:space="preserve">The Tenant must give the Landlord the Security Amount by way of a Bank Guarantee or Insurance Bond before the Commencement Date. </w:t>
      </w:r>
    </w:p>
    <w:p w:rsidR="001B3D5D" w:rsidRDefault="004D5502">
      <w:pPr>
        <w:pStyle w:val="MELegal3"/>
      </w:pPr>
      <w:r>
        <w:t xml:space="preserve">For the avoidance of doubt the amount of the Security Amount to be </w:t>
      </w:r>
      <w:r>
        <w:t>provided under this lease is equal to 6 months' Rent plus GST.</w:t>
      </w:r>
    </w:p>
    <w:p w:rsidR="001B3D5D" w:rsidRDefault="004D5502">
      <w:pPr>
        <w:pStyle w:val="MELegal3"/>
      </w:pPr>
      <w:r>
        <w:t>The Landlord agrees that the Tenant may use:</w:t>
      </w:r>
    </w:p>
    <w:p w:rsidR="001B3D5D" w:rsidRDefault="004D5502">
      <w:pPr>
        <w:pStyle w:val="MELegal4"/>
      </w:pPr>
      <w:r>
        <w:t>the security deposit provided by the Tenant under the Commitment Deed; and</w:t>
      </w:r>
    </w:p>
    <w:p w:rsidR="001B3D5D" w:rsidRDefault="004D5502">
      <w:pPr>
        <w:pStyle w:val="MELegal4"/>
      </w:pPr>
      <w:r>
        <w:t>any Security Amount provided by the Tenant under the Agreement for Lease,</w:t>
      </w:r>
    </w:p>
    <w:p w:rsidR="001B3D5D" w:rsidRDefault="004D5502">
      <w:pPr>
        <w:pStyle w:val="MELegal4"/>
      </w:pPr>
      <w:r>
        <w:t xml:space="preserve"> to satisfy (or partially satisfy) the Tenant's obligation to provide the Security Amount under this lease but only to the extent: </w:t>
      </w:r>
    </w:p>
    <w:p w:rsidR="001B3D5D" w:rsidRDefault="004D5502">
      <w:pPr>
        <w:pStyle w:val="MELegal4"/>
      </w:pPr>
      <w:r>
        <w:t xml:space="preserve">that the relevant security deposit or Security Amount has not be drawn down upon; and </w:t>
      </w:r>
    </w:p>
    <w:p w:rsidR="001B3D5D" w:rsidRDefault="004D5502">
      <w:pPr>
        <w:pStyle w:val="MELegal4"/>
      </w:pPr>
      <w:r>
        <w:t>permitted under the terms of the rel</w:t>
      </w:r>
      <w:r>
        <w:t xml:space="preserve">evant Bank Guarantee or Insurance Bond. </w:t>
      </w:r>
    </w:p>
    <w:p w:rsidR="001B3D5D" w:rsidRDefault="004D5502">
      <w:pPr>
        <w:pStyle w:val="MELegal2"/>
      </w:pPr>
      <w:bookmarkStart w:id="536" w:name="_Toc334548904"/>
      <w:bookmarkStart w:id="537" w:name="_Toc334549091"/>
      <w:bookmarkStart w:id="538" w:name="_Toc334605669"/>
      <w:bookmarkStart w:id="539" w:name="_Toc334606741"/>
      <w:bookmarkStart w:id="540" w:name="_Toc141602898"/>
      <w:bookmarkStart w:id="541" w:name="_Toc157500026"/>
      <w:bookmarkStart w:id="542" w:name="_Toc158003646"/>
      <w:bookmarkStart w:id="543" w:name="_Toc334110473"/>
      <w:bookmarkStart w:id="544" w:name="_Toc345578284"/>
      <w:bookmarkStart w:id="545" w:name="_Toc411870700"/>
      <w:bookmarkEnd w:id="536"/>
      <w:bookmarkEnd w:id="537"/>
      <w:bookmarkEnd w:id="538"/>
      <w:bookmarkEnd w:id="539"/>
      <w:r>
        <w:t>Use of Security Amount</w:t>
      </w:r>
      <w:bookmarkEnd w:id="540"/>
      <w:bookmarkEnd w:id="541"/>
      <w:bookmarkEnd w:id="542"/>
      <w:bookmarkEnd w:id="543"/>
      <w:bookmarkEnd w:id="544"/>
      <w:bookmarkEnd w:id="545"/>
    </w:p>
    <w:p w:rsidR="001B3D5D" w:rsidRDefault="004D5502">
      <w:pPr>
        <w:ind w:left="680"/>
      </w:pPr>
      <w:r>
        <w:t>If the Tenant does not comply with any of the Tenant's monetary obligations under this lease (including any extension or holding over), the Landlord may draw on the Bank Guarantee or Insurance</w:t>
      </w:r>
      <w:r>
        <w:t xml:space="preserve"> Bond, and apply the proceeds as its own property, without notice to the Tenant.</w:t>
      </w:r>
    </w:p>
    <w:p w:rsidR="001B3D5D" w:rsidRDefault="004D5502">
      <w:pPr>
        <w:pStyle w:val="MELegal2"/>
      </w:pPr>
      <w:bookmarkStart w:id="546" w:name="_Toc141602899"/>
      <w:bookmarkStart w:id="547" w:name="_Toc157500027"/>
      <w:bookmarkStart w:id="548" w:name="_Toc158003647"/>
      <w:bookmarkStart w:id="549" w:name="_Toc334110474"/>
      <w:bookmarkStart w:id="550" w:name="_Toc345578285"/>
      <w:bookmarkStart w:id="551" w:name="_Toc411870701"/>
      <w:r>
        <w:t>Reinstatement of Security Amount</w:t>
      </w:r>
      <w:bookmarkEnd w:id="546"/>
      <w:bookmarkEnd w:id="547"/>
      <w:bookmarkEnd w:id="548"/>
      <w:bookmarkEnd w:id="549"/>
      <w:bookmarkEnd w:id="550"/>
      <w:bookmarkEnd w:id="551"/>
    </w:p>
    <w:p w:rsidR="001B3D5D" w:rsidRDefault="004D5502">
      <w:pPr>
        <w:ind w:left="680"/>
      </w:pPr>
      <w:r>
        <w:t>If the Landlord draws on the Bank Guarantee or Insurance Bond, the Tenant must immediately give to the Landlord a replacement Bank Guarantee o</w:t>
      </w:r>
      <w:r>
        <w:t>r Insurance Bond for the Security Amount.</w:t>
      </w:r>
    </w:p>
    <w:p w:rsidR="001B3D5D" w:rsidRDefault="004D5502">
      <w:pPr>
        <w:pStyle w:val="MELegal2"/>
      </w:pPr>
      <w:bookmarkStart w:id="552" w:name="_Toc315856728"/>
      <w:bookmarkStart w:id="553" w:name="_Toc334110475"/>
      <w:bookmarkStart w:id="554" w:name="_Toc345578286"/>
      <w:bookmarkStart w:id="555" w:name="_Toc411870702"/>
      <w:bookmarkStart w:id="556" w:name="_Toc141602900"/>
      <w:bookmarkStart w:id="557" w:name="_Toc157500028"/>
      <w:bookmarkStart w:id="558" w:name="_Toc158003648"/>
      <w:r>
        <w:t>Replacement Insurance Bond and Bank Guarantee</w:t>
      </w:r>
      <w:bookmarkEnd w:id="552"/>
      <w:bookmarkEnd w:id="553"/>
      <w:bookmarkEnd w:id="554"/>
      <w:bookmarkEnd w:id="555"/>
    </w:p>
    <w:p w:rsidR="001B3D5D" w:rsidRDefault="004D5502">
      <w:pPr>
        <w:ind w:left="680"/>
      </w:pPr>
      <w:r>
        <w:t>If, at any time the Landlord reasonably considers that the Bank Guarantee or Insurance Bond may be unenforceable or the entity providing the Bank Guarantee or the Insur</w:t>
      </w:r>
      <w:r>
        <w:t>ance Bond will be unable to pay to the Landlord one hundred per cent (100%) of the amount secured by the Bank Guarantee or the Insurance Bond if called upon, and the Landlord gives notice to this effect to the Tenant, then the Tenant must provide the Landl</w:t>
      </w:r>
      <w:r>
        <w:t xml:space="preserve">ord with a replacement Bank Guarantee or Insurance Bond within seven days of receipt of the Landlord's notice.  Such replacement Bank Guarantee or Insurance Bond must be from an entity which is acceptable to the Landlord.  The Landlord must act reasonably </w:t>
      </w:r>
      <w:r>
        <w:t>in its requirements pursuant to this clause.</w:t>
      </w:r>
    </w:p>
    <w:p w:rsidR="001B3D5D" w:rsidRDefault="004D5502">
      <w:pPr>
        <w:pStyle w:val="MELegal2"/>
      </w:pPr>
      <w:bookmarkStart w:id="559" w:name="_Toc334110476"/>
      <w:bookmarkStart w:id="560" w:name="_Toc345578287"/>
      <w:bookmarkStart w:id="561" w:name="_Toc411870703"/>
      <w:r>
        <w:t>Return of Security Amount</w:t>
      </w:r>
      <w:bookmarkEnd w:id="556"/>
      <w:bookmarkEnd w:id="557"/>
      <w:bookmarkEnd w:id="558"/>
      <w:bookmarkEnd w:id="559"/>
      <w:bookmarkEnd w:id="560"/>
      <w:r>
        <w:t xml:space="preserve"> </w:t>
      </w:r>
      <w:r>
        <w:rPr>
          <w:rFonts w:hint="eastAsia"/>
        </w:rPr>
        <w:t>under this</w:t>
      </w:r>
      <w:r>
        <w:t xml:space="preserve"> lease</w:t>
      </w:r>
      <w:bookmarkEnd w:id="561"/>
    </w:p>
    <w:p w:rsidR="001B3D5D" w:rsidRDefault="004D5502">
      <w:pPr>
        <w:ind w:left="680"/>
      </w:pPr>
      <w:r>
        <w:t>As soon as practicable after this lease ends and the Tenant has vacated the Premises and performed all of its obligations under this lease, the Landlord must return any</w:t>
      </w:r>
      <w:r>
        <w:t xml:space="preserve"> unused part of the Security Amount provided under this lease to the Tenant.</w:t>
      </w:r>
    </w:p>
    <w:p w:rsidR="001B3D5D" w:rsidRDefault="004D5502">
      <w:pPr>
        <w:pStyle w:val="MELegal2"/>
      </w:pPr>
      <w:bookmarkStart w:id="562" w:name="_Toc141602901"/>
      <w:bookmarkStart w:id="563" w:name="_Toc157500029"/>
      <w:bookmarkStart w:id="564" w:name="_Toc158003649"/>
      <w:bookmarkStart w:id="565" w:name="_Toc334110477"/>
      <w:bookmarkStart w:id="566" w:name="_Toc345578288"/>
      <w:bookmarkStart w:id="567" w:name="_Toc411870704"/>
      <w:r>
        <w:t>Change in ownership</w:t>
      </w:r>
      <w:bookmarkEnd w:id="562"/>
      <w:bookmarkEnd w:id="563"/>
      <w:bookmarkEnd w:id="564"/>
      <w:bookmarkEnd w:id="565"/>
      <w:bookmarkEnd w:id="566"/>
      <w:bookmarkEnd w:id="567"/>
    </w:p>
    <w:p w:rsidR="001B3D5D" w:rsidRDefault="004D5502">
      <w:pPr>
        <w:ind w:left="680"/>
      </w:pPr>
      <w:r>
        <w:t>If the Landlord assigns or disposes of its interest in this lease, the Head-Lease or the Premises, the Tenant must do whatever is necessary on the Tenant's par</w:t>
      </w:r>
      <w:r>
        <w:t>t to give the benefit of the Bank Guarantee or Insurance Bond to a new party, including, if the Landlord requires, giving the new party a new Bank Guarantee or Insurance Bond for the Security Amount. The Landlord must reimburse the Tenant the reasonable co</w:t>
      </w:r>
      <w:r>
        <w:t>st incurred by the Tenant in procuring a new Bank Guarantee or Insurance Bond.</w:t>
      </w:r>
    </w:p>
    <w:p w:rsidR="001B3D5D" w:rsidRDefault="004D5502">
      <w:pPr>
        <w:pStyle w:val="MELegal1"/>
      </w:pPr>
      <w:bookmarkStart w:id="568" w:name="_Ref136251626"/>
      <w:bookmarkStart w:id="569" w:name="_Toc157500032"/>
      <w:bookmarkStart w:id="570" w:name="_Toc158003652"/>
      <w:bookmarkStart w:id="571" w:name="_Toc334110478"/>
      <w:bookmarkStart w:id="572" w:name="_Toc345578289"/>
      <w:bookmarkStart w:id="573" w:name="_Toc411870705"/>
      <w:bookmarkEnd w:id="528"/>
      <w:r>
        <w:lastRenderedPageBreak/>
        <w:t>Goods and Services Tax (GST)</w:t>
      </w:r>
      <w:bookmarkEnd w:id="568"/>
      <w:bookmarkEnd w:id="569"/>
      <w:bookmarkEnd w:id="570"/>
      <w:bookmarkEnd w:id="571"/>
      <w:bookmarkEnd w:id="572"/>
      <w:bookmarkEnd w:id="573"/>
      <w:r>
        <w:t xml:space="preserve"> </w:t>
      </w:r>
    </w:p>
    <w:p w:rsidR="001B3D5D" w:rsidRDefault="004D5502">
      <w:pPr>
        <w:pStyle w:val="MELegal2"/>
        <w:rPr>
          <w:lang w:val="en-US"/>
        </w:rPr>
      </w:pPr>
      <w:bookmarkStart w:id="574" w:name="_Toc150312301"/>
      <w:bookmarkStart w:id="575" w:name="_Toc157500033"/>
      <w:bookmarkStart w:id="576" w:name="_Toc158003653"/>
      <w:bookmarkStart w:id="577" w:name="_Toc334110479"/>
      <w:bookmarkStart w:id="578" w:name="_Toc345578290"/>
      <w:bookmarkStart w:id="579" w:name="_Toc411870706"/>
      <w:r>
        <w:rPr>
          <w:lang w:val="en-US"/>
        </w:rPr>
        <w:t>Interpretation</w:t>
      </w:r>
      <w:bookmarkEnd w:id="574"/>
      <w:bookmarkEnd w:id="575"/>
      <w:bookmarkEnd w:id="576"/>
      <w:bookmarkEnd w:id="577"/>
      <w:bookmarkEnd w:id="578"/>
      <w:bookmarkEnd w:id="579"/>
    </w:p>
    <w:p w:rsidR="001B3D5D" w:rsidRDefault="004D5502">
      <w:pPr>
        <w:ind w:left="680"/>
      </w:pPr>
      <w:r>
        <w:t>Words or expressions used in this clause </w:t>
      </w:r>
      <w:r>
        <w:fldChar w:fldCharType="begin"/>
      </w:r>
      <w:r>
        <w:instrText xml:space="preserve"> REF _Ref136251626 \r \h  \* MERGEFORMAT </w:instrText>
      </w:r>
      <w:r>
        <w:fldChar w:fldCharType="separate"/>
      </w:r>
      <w:r>
        <w:t>18</w:t>
      </w:r>
      <w:r>
        <w:fldChar w:fldCharType="end"/>
      </w:r>
      <w:r>
        <w:t xml:space="preserve"> which are defined in the </w:t>
      </w:r>
      <w:r>
        <w:rPr>
          <w:i/>
        </w:rPr>
        <w:t>A New Tax System (Goods and Services Tax) Act 1999</w:t>
      </w:r>
      <w:r>
        <w:t xml:space="preserve"> (Cth) have the same meaning in this clause.</w:t>
      </w:r>
    </w:p>
    <w:p w:rsidR="001B3D5D" w:rsidRDefault="004D5502">
      <w:pPr>
        <w:pStyle w:val="MELegal2"/>
      </w:pPr>
      <w:bookmarkStart w:id="580" w:name="_Toc150312302"/>
      <w:bookmarkStart w:id="581" w:name="_Toc157500034"/>
      <w:bookmarkStart w:id="582" w:name="_Toc158003654"/>
      <w:bookmarkStart w:id="583" w:name="_Toc334110480"/>
      <w:bookmarkStart w:id="584" w:name="_Toc345578291"/>
      <w:bookmarkStart w:id="585" w:name="_Toc411870707"/>
      <w:r>
        <w:t>Consideration is GST exclusive</w:t>
      </w:r>
      <w:bookmarkEnd w:id="580"/>
      <w:bookmarkEnd w:id="581"/>
      <w:bookmarkEnd w:id="582"/>
      <w:bookmarkEnd w:id="583"/>
      <w:bookmarkEnd w:id="584"/>
      <w:bookmarkEnd w:id="585"/>
    </w:p>
    <w:p w:rsidR="001B3D5D" w:rsidRDefault="004D5502">
      <w:pPr>
        <w:ind w:left="680"/>
      </w:pPr>
      <w:r>
        <w:t>Any consideration to be paid or provided for a supply made under or in connection wi</w:t>
      </w:r>
      <w:r>
        <w:t>th this lease, unless specifically described in this lease as 'GST inclusive', does not include an amount on account of GST.</w:t>
      </w:r>
    </w:p>
    <w:p w:rsidR="001B3D5D" w:rsidRDefault="004D5502">
      <w:pPr>
        <w:pStyle w:val="MELegal2"/>
      </w:pPr>
      <w:bookmarkStart w:id="586" w:name="_Toc150312303"/>
      <w:bookmarkStart w:id="587" w:name="_Toc157500035"/>
      <w:bookmarkStart w:id="588" w:name="_Toc158003655"/>
      <w:bookmarkStart w:id="589" w:name="_Toc334110481"/>
      <w:bookmarkStart w:id="590" w:name="_Toc345578292"/>
      <w:bookmarkStart w:id="591" w:name="_Toc411870708"/>
      <w:r>
        <w:t>Gross up of consideration</w:t>
      </w:r>
      <w:bookmarkEnd w:id="586"/>
      <w:bookmarkEnd w:id="587"/>
      <w:bookmarkEnd w:id="588"/>
      <w:bookmarkEnd w:id="589"/>
      <w:bookmarkEnd w:id="590"/>
      <w:bookmarkEnd w:id="591"/>
    </w:p>
    <w:p w:rsidR="001B3D5D" w:rsidRDefault="004D5502">
      <w:pPr>
        <w:tabs>
          <w:tab w:val="left" w:pos="6946"/>
        </w:tabs>
        <w:ind w:left="680"/>
      </w:pPr>
      <w:r>
        <w:t>Despite any other provision in this lease, if a party (</w:t>
      </w:r>
      <w:r>
        <w:rPr>
          <w:b/>
        </w:rPr>
        <w:t>Supplier</w:t>
      </w:r>
      <w:r>
        <w:t>) makes a supply under or in connection wi</w:t>
      </w:r>
      <w:r>
        <w:t>th this lease on which GST is payable (not being a supply the consideration for which is specifically described in this lease as 'GST inclusive'):</w:t>
      </w:r>
    </w:p>
    <w:p w:rsidR="001B3D5D" w:rsidRDefault="004D5502">
      <w:pPr>
        <w:pStyle w:val="MELegal3"/>
      </w:pPr>
      <w:r>
        <w:t xml:space="preserve">the consideration payable or to be provided for that supply under this lease but for the application of this </w:t>
      </w:r>
      <w:r>
        <w:t>clause (</w:t>
      </w:r>
      <w:r>
        <w:rPr>
          <w:b/>
        </w:rPr>
        <w:t>GST exclusive consideration</w:t>
      </w:r>
      <w:r>
        <w:t>) is increased by, and the recipient of the supply (</w:t>
      </w:r>
      <w:r>
        <w:rPr>
          <w:b/>
        </w:rPr>
        <w:t>Recipient</w:t>
      </w:r>
      <w:r>
        <w:t>) must also pay to the Supplier, an amount equal to the GST exclusive consideration multiplied by the prevailing rate of GST (</w:t>
      </w:r>
      <w:r>
        <w:rPr>
          <w:b/>
        </w:rPr>
        <w:t>GST Amount</w:t>
      </w:r>
      <w:r>
        <w:t>); and</w:t>
      </w:r>
    </w:p>
    <w:p w:rsidR="001B3D5D" w:rsidRDefault="004D5502">
      <w:pPr>
        <w:pStyle w:val="MELegal3"/>
      </w:pPr>
      <w:r>
        <w:t xml:space="preserve">subject to </w:t>
      </w:r>
      <w:r>
        <w:t>clause </w:t>
      </w:r>
      <w:r>
        <w:fldChar w:fldCharType="begin"/>
      </w:r>
      <w:r>
        <w:instrText xml:space="preserve"> REF _Ref142109359 \r \h  \* MERGEFORMAT </w:instrText>
      </w:r>
      <w:r>
        <w:fldChar w:fldCharType="separate"/>
      </w:r>
      <w:r>
        <w:t>18.5</w:t>
      </w:r>
      <w:r>
        <w:fldChar w:fldCharType="end"/>
      </w:r>
      <w:r>
        <w:t>, the GST Amount must be paid to the Supplier by the Recipient without set off, deduction or requirement for demand, at the same time as</w:t>
      </w:r>
      <w:r>
        <w:t xml:space="preserve"> the GST exclusive consideration is payable or to be provided.</w:t>
      </w:r>
    </w:p>
    <w:p w:rsidR="001B3D5D" w:rsidRDefault="004D5502">
      <w:pPr>
        <w:pStyle w:val="MELegal2"/>
      </w:pPr>
      <w:bookmarkStart w:id="592" w:name="_Toc150312304"/>
      <w:bookmarkStart w:id="593" w:name="_Toc157500036"/>
      <w:bookmarkStart w:id="594" w:name="_Toc158003656"/>
      <w:bookmarkStart w:id="595" w:name="_Toc334110482"/>
      <w:bookmarkStart w:id="596" w:name="_Toc345578293"/>
      <w:bookmarkStart w:id="597" w:name="_Toc411870709"/>
      <w:r>
        <w:t>Reimbursements (net down)</w:t>
      </w:r>
      <w:bookmarkEnd w:id="592"/>
      <w:bookmarkEnd w:id="593"/>
      <w:bookmarkEnd w:id="594"/>
      <w:bookmarkEnd w:id="595"/>
      <w:bookmarkEnd w:id="596"/>
      <w:bookmarkEnd w:id="597"/>
    </w:p>
    <w:p w:rsidR="001B3D5D" w:rsidRDefault="004D5502">
      <w:pPr>
        <w:ind w:left="680"/>
      </w:pPr>
      <w:r>
        <w:t xml:space="preserve">If a payment to a party under this lease is a reimbursement or indemnification or otherwise calculated by reference to a loss, cost or expense incurred by that party, </w:t>
      </w:r>
      <w:r>
        <w:t>then the payment will be reduced by the amount of any input tax credit to which that party, or the representative member of the GST group that the party is a member of (as the case may be), is entitled in respect of that loss, cost or expense.</w:t>
      </w:r>
    </w:p>
    <w:p w:rsidR="001B3D5D" w:rsidRDefault="004D5502">
      <w:pPr>
        <w:pStyle w:val="MELegal2"/>
      </w:pPr>
      <w:bookmarkStart w:id="598" w:name="_Ref142109359"/>
      <w:bookmarkStart w:id="599" w:name="_Toc150312305"/>
      <w:bookmarkStart w:id="600" w:name="_Toc157500037"/>
      <w:bookmarkStart w:id="601" w:name="_Toc158003657"/>
      <w:bookmarkStart w:id="602" w:name="_Toc334110483"/>
      <w:bookmarkStart w:id="603" w:name="_Toc345578294"/>
      <w:bookmarkStart w:id="604" w:name="_Toc411870710"/>
      <w:r>
        <w:t>Tax invoices</w:t>
      </w:r>
      <w:bookmarkEnd w:id="598"/>
      <w:bookmarkEnd w:id="599"/>
      <w:bookmarkEnd w:id="600"/>
      <w:bookmarkEnd w:id="601"/>
      <w:bookmarkEnd w:id="602"/>
      <w:bookmarkEnd w:id="603"/>
      <w:bookmarkEnd w:id="604"/>
    </w:p>
    <w:p w:rsidR="001B3D5D" w:rsidRDefault="004D5502">
      <w:pPr>
        <w:ind w:left="680"/>
      </w:pPr>
      <w:r>
        <w:t>The Recipient need not pay the GST Amount in respect of a taxable supply made under or in connection with this lease until the Supplier has given the Recipient a tax invoice in respect of that taxable supply.</w:t>
      </w:r>
    </w:p>
    <w:p w:rsidR="001B3D5D" w:rsidRDefault="004D5502">
      <w:pPr>
        <w:pStyle w:val="MELegal1"/>
      </w:pPr>
      <w:bookmarkStart w:id="605" w:name="_Toc356911767"/>
      <w:bookmarkStart w:id="606" w:name="_Toc356911768"/>
      <w:bookmarkStart w:id="607" w:name="_Toc356911769"/>
      <w:bookmarkStart w:id="608" w:name="_Toc356911770"/>
      <w:bookmarkStart w:id="609" w:name="_Toc356911771"/>
      <w:bookmarkStart w:id="610" w:name="_Toc356911772"/>
      <w:bookmarkStart w:id="611" w:name="_Toc356911773"/>
      <w:bookmarkStart w:id="612" w:name="_Toc356911774"/>
      <w:bookmarkStart w:id="613" w:name="_Toc356911775"/>
      <w:bookmarkStart w:id="614" w:name="_Toc356911776"/>
      <w:bookmarkStart w:id="615" w:name="_Toc356911777"/>
      <w:bookmarkStart w:id="616" w:name="_Toc356911778"/>
      <w:bookmarkStart w:id="617" w:name="_Toc356911779"/>
      <w:bookmarkStart w:id="618" w:name="_Toc356911780"/>
      <w:bookmarkStart w:id="619" w:name="_Toc356911781"/>
      <w:bookmarkStart w:id="620" w:name="_Toc356911782"/>
      <w:bookmarkStart w:id="621" w:name="_Toc356911783"/>
      <w:bookmarkStart w:id="622" w:name="_Toc356911784"/>
      <w:bookmarkStart w:id="623" w:name="_Toc356911785"/>
      <w:bookmarkStart w:id="624" w:name="_Toc356911786"/>
      <w:bookmarkStart w:id="625" w:name="_Toc356911787"/>
      <w:bookmarkStart w:id="626" w:name="_Toc356911788"/>
      <w:bookmarkStart w:id="627" w:name="_Toc356911789"/>
      <w:bookmarkStart w:id="628" w:name="_Toc356911790"/>
      <w:bookmarkStart w:id="629" w:name="_Toc356911791"/>
      <w:bookmarkStart w:id="630" w:name="_Toc356911792"/>
      <w:bookmarkStart w:id="631" w:name="_Toc356911793"/>
      <w:bookmarkStart w:id="632" w:name="_Toc356911794"/>
      <w:bookmarkStart w:id="633" w:name="_Toc356911795"/>
      <w:bookmarkStart w:id="634" w:name="_Toc356911796"/>
      <w:bookmarkStart w:id="635" w:name="_Toc356911797"/>
      <w:bookmarkStart w:id="636" w:name="_Toc356911798"/>
      <w:bookmarkStart w:id="637" w:name="_Toc356911799"/>
      <w:bookmarkStart w:id="638" w:name="_Toc356911800"/>
      <w:bookmarkStart w:id="639" w:name="_Toc356911801"/>
      <w:bookmarkStart w:id="640" w:name="_Toc356911802"/>
      <w:bookmarkStart w:id="641" w:name="_Toc356911803"/>
      <w:bookmarkStart w:id="642" w:name="_Toc356911804"/>
      <w:bookmarkStart w:id="643" w:name="_Toc356911805"/>
      <w:bookmarkStart w:id="644" w:name="_Toc356911806"/>
      <w:bookmarkStart w:id="645" w:name="_Toc356911807"/>
      <w:bookmarkStart w:id="646" w:name="_Toc356911808"/>
      <w:bookmarkStart w:id="647" w:name="_Toc356911809"/>
      <w:bookmarkStart w:id="648" w:name="_Toc356911810"/>
      <w:bookmarkStart w:id="649" w:name="_Toc356911811"/>
      <w:bookmarkStart w:id="650" w:name="_Toc356911812"/>
      <w:bookmarkStart w:id="651" w:name="_Toc356911813"/>
      <w:bookmarkStart w:id="652" w:name="_Toc356911814"/>
      <w:bookmarkStart w:id="653" w:name="_Toc356911815"/>
      <w:bookmarkStart w:id="654" w:name="_Toc356911816"/>
      <w:bookmarkStart w:id="655" w:name="_Toc356911817"/>
      <w:bookmarkStart w:id="656" w:name="_Toc356911818"/>
      <w:bookmarkStart w:id="657" w:name="_Toc356911819"/>
      <w:bookmarkStart w:id="658" w:name="_Ref311706889"/>
      <w:bookmarkStart w:id="659" w:name="_Toc334110497"/>
      <w:bookmarkStart w:id="660" w:name="_Toc345578308"/>
      <w:bookmarkStart w:id="661" w:name="_Toc411870711"/>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r>
        <w:t>Option for a new lease</w:t>
      </w:r>
      <w:bookmarkEnd w:id="658"/>
      <w:bookmarkEnd w:id="659"/>
      <w:bookmarkEnd w:id="660"/>
      <w:bookmarkEnd w:id="661"/>
    </w:p>
    <w:p w:rsidR="001B3D5D" w:rsidRDefault="004D5502">
      <w:pPr>
        <w:pStyle w:val="MELegal2"/>
      </w:pPr>
      <w:bookmarkStart w:id="662" w:name="_Toc334110498"/>
      <w:bookmarkStart w:id="663" w:name="_Toc345578309"/>
      <w:bookmarkStart w:id="664" w:name="_Toc411870712"/>
      <w:r>
        <w:t>Grant of new lease</w:t>
      </w:r>
      <w:bookmarkEnd w:id="662"/>
      <w:bookmarkEnd w:id="663"/>
      <w:bookmarkEnd w:id="664"/>
    </w:p>
    <w:p w:rsidR="001B3D5D" w:rsidRDefault="004D5502">
      <w:pPr>
        <w:ind w:left="680"/>
      </w:pPr>
      <w:r>
        <w:t xml:space="preserve">If </w:t>
      </w:r>
      <w:r>
        <w:fldChar w:fldCharType="begin"/>
      </w:r>
      <w:r>
        <w:instrText xml:space="preserve"> REF _Ref311706847 \w \h  \* MERGEFORMAT </w:instrText>
      </w:r>
      <w:r>
        <w:fldChar w:fldCharType="separate"/>
      </w:r>
      <w:r>
        <w:t xml:space="preserve">Item 9 </w:t>
      </w:r>
      <w:r>
        <w:fldChar w:fldCharType="end"/>
      </w:r>
      <w:r>
        <w:t xml:space="preserve"> provides for an option, the Landlord must grant a new lease under this clause </w:t>
      </w:r>
      <w:r>
        <w:fldChar w:fldCharType="begin"/>
      </w:r>
      <w:r>
        <w:instrText xml:space="preserve"> REF _Ref311706889 \w \h  \* MERGEFORMAT </w:instrText>
      </w:r>
      <w:r>
        <w:fldChar w:fldCharType="separate"/>
      </w:r>
      <w:r>
        <w:t>19</w:t>
      </w:r>
      <w:r>
        <w:fldChar w:fldCharType="end"/>
      </w:r>
      <w:r>
        <w:t xml:space="preserve"> on the Termination Date to commence on the next day only if:</w:t>
      </w:r>
    </w:p>
    <w:p w:rsidR="001B3D5D" w:rsidRDefault="004D5502">
      <w:pPr>
        <w:pStyle w:val="MELegal3"/>
      </w:pPr>
      <w:r>
        <w:t xml:space="preserve">the Tenant gives the Landlord a notice stating that the Tenant wants a new lease of the Premises for the term first specified in </w:t>
      </w:r>
      <w:r>
        <w:fldChar w:fldCharType="begin"/>
      </w:r>
      <w:r>
        <w:instrText xml:space="preserve"> REF _Ref311706</w:instrText>
      </w:r>
      <w:r>
        <w:instrText xml:space="preserve">847 \w \h  \* MERGEFORMAT </w:instrText>
      </w:r>
      <w:r>
        <w:fldChar w:fldCharType="separate"/>
      </w:r>
      <w:r>
        <w:t xml:space="preserve">Item 9 </w:t>
      </w:r>
      <w:r>
        <w:fldChar w:fldCharType="end"/>
      </w:r>
      <w:r>
        <w:t>;</w:t>
      </w:r>
    </w:p>
    <w:p w:rsidR="001B3D5D" w:rsidRDefault="004D5502">
      <w:pPr>
        <w:pStyle w:val="MELegal3"/>
      </w:pPr>
      <w:r>
        <w:t>the Landlord receives that notice not more than nine months nor less than six months before the Termination Date;</w:t>
      </w:r>
    </w:p>
    <w:p w:rsidR="001B3D5D" w:rsidRDefault="004D5502">
      <w:pPr>
        <w:pStyle w:val="MELegal3"/>
      </w:pPr>
      <w:r>
        <w:t xml:space="preserve">when the Tenant gives that notice, and on </w:t>
      </w:r>
      <w:r>
        <w:t>the Termination Date, the Tenant is not in breach of this lease about which the Landlord has given the Tenant a notice and has not persistently breached this lease throughout the Term; and</w:t>
      </w:r>
    </w:p>
    <w:p w:rsidR="001B3D5D" w:rsidRDefault="004D5502">
      <w:pPr>
        <w:pStyle w:val="MELegal3"/>
      </w:pPr>
      <w:r>
        <w:lastRenderedPageBreak/>
        <w:t>the Tenant delivers to the Landlord before the Termination Date a g</w:t>
      </w:r>
      <w:r>
        <w:t>uarantee and indemnity in connection with the Tenant's obligations under the new lease by  the same person, or another person acceptable to the Landlord, on the same terms as any given in connection with the Tenant's obligations under this lease.</w:t>
      </w:r>
    </w:p>
    <w:p w:rsidR="001B3D5D" w:rsidRDefault="004D5502">
      <w:pPr>
        <w:pStyle w:val="MELegal2"/>
      </w:pPr>
      <w:bookmarkStart w:id="665" w:name="_Ref315814313"/>
      <w:bookmarkStart w:id="666" w:name="_Ref315814316"/>
      <w:bookmarkStart w:id="667" w:name="_Ref315814321"/>
      <w:bookmarkStart w:id="668" w:name="_Toc334110499"/>
      <w:bookmarkStart w:id="669" w:name="_Toc345578310"/>
      <w:bookmarkStart w:id="670" w:name="_Toc411870713"/>
      <w:r>
        <w:t>Provision</w:t>
      </w:r>
      <w:r>
        <w:t>s of new lease</w:t>
      </w:r>
      <w:bookmarkEnd w:id="665"/>
      <w:bookmarkEnd w:id="666"/>
      <w:bookmarkEnd w:id="667"/>
      <w:bookmarkEnd w:id="668"/>
      <w:bookmarkEnd w:id="669"/>
      <w:bookmarkEnd w:id="670"/>
    </w:p>
    <w:p w:rsidR="001B3D5D" w:rsidRDefault="004D5502">
      <w:pPr>
        <w:ind w:left="680"/>
      </w:pPr>
      <w:r>
        <w:t>The new lease is to be identical with this lease except that:</w:t>
      </w:r>
    </w:p>
    <w:p w:rsidR="001B3D5D" w:rsidRDefault="004D5502">
      <w:pPr>
        <w:pStyle w:val="MELegal3"/>
      </w:pPr>
      <w:r>
        <w:t xml:space="preserve">if the particulars of the new lease are the only particulars specified in </w:t>
      </w:r>
      <w:r>
        <w:fldChar w:fldCharType="begin"/>
      </w:r>
      <w:r>
        <w:instrText xml:space="preserve"> REF _Ref311706847 \w \h  \* MERGEFORMAT </w:instrText>
      </w:r>
      <w:r>
        <w:fldChar w:fldCharType="separate"/>
      </w:r>
      <w:r>
        <w:t xml:space="preserve">Item 9 </w:t>
      </w:r>
      <w:r>
        <w:fldChar w:fldCharType="end"/>
      </w:r>
      <w:r>
        <w:t>:</w:t>
      </w:r>
    </w:p>
    <w:p w:rsidR="001B3D5D" w:rsidRDefault="004D5502">
      <w:pPr>
        <w:pStyle w:val="MELegal4"/>
      </w:pPr>
      <w:r>
        <w:t xml:space="preserve">the term, commencement date, the termination date, the CPI review dates and the market review dates the term, commencement date, the termination date, the CPI review dates and the market review dates are to be those first specified in </w:t>
      </w:r>
      <w:r>
        <w:fldChar w:fldCharType="begin"/>
      </w:r>
      <w:r>
        <w:instrText xml:space="preserve"> REF _R</w:instrText>
      </w:r>
      <w:r>
        <w:instrText xml:space="preserve">ef311706847 \w \h  \* MERGEFORMAT </w:instrText>
      </w:r>
      <w:r>
        <w:fldChar w:fldCharType="separate"/>
      </w:r>
      <w:r>
        <w:t xml:space="preserve">Item 9 </w:t>
      </w:r>
      <w:r>
        <w:fldChar w:fldCharType="end"/>
      </w:r>
      <w:r>
        <w:t>; and</w:t>
      </w:r>
    </w:p>
    <w:p w:rsidR="001B3D5D" w:rsidRDefault="004D5502">
      <w:pPr>
        <w:pStyle w:val="MELegal4"/>
      </w:pPr>
      <w:r>
        <w:t>this clause </w:t>
      </w:r>
      <w:r>
        <w:fldChar w:fldCharType="begin"/>
      </w:r>
      <w:r>
        <w:instrText xml:space="preserve"> REF _Ref311706889 \w \h  \* MERGEFORMAT </w:instrText>
      </w:r>
      <w:r>
        <w:fldChar w:fldCharType="separate"/>
      </w:r>
      <w:r>
        <w:t>19</w:t>
      </w:r>
      <w:r>
        <w:fldChar w:fldCharType="end"/>
      </w:r>
      <w:r>
        <w:t xml:space="preserve"> is deleted and </w:t>
      </w:r>
      <w:r>
        <w:fldChar w:fldCharType="begin"/>
      </w:r>
      <w:r>
        <w:instrText xml:space="preserve"> REF</w:instrText>
      </w:r>
      <w:r>
        <w:instrText xml:space="preserve"> _Ref311706847 \w \h  \* MERGEFORMAT </w:instrText>
      </w:r>
      <w:r>
        <w:fldChar w:fldCharType="separate"/>
      </w:r>
      <w:r>
        <w:t xml:space="preserve">Item 9 </w:t>
      </w:r>
      <w:r>
        <w:fldChar w:fldCharType="end"/>
      </w:r>
      <w:r>
        <w:t xml:space="preserve"> is noted as 'Not applicable';</w:t>
      </w:r>
    </w:p>
    <w:p w:rsidR="001B3D5D" w:rsidRDefault="004D5502">
      <w:pPr>
        <w:pStyle w:val="MELegal3"/>
      </w:pPr>
      <w:r>
        <w:rPr>
          <w:b/>
        </w:rPr>
        <w:t xml:space="preserve"> </w:t>
      </w:r>
      <w:r>
        <w:t xml:space="preserve">if particulars of more than one new lease are specified in </w:t>
      </w:r>
      <w:r>
        <w:fldChar w:fldCharType="begin"/>
      </w:r>
      <w:r>
        <w:instrText xml:space="preserve"> REF _Ref311706847 \w \h  \* MERGEFORMAT </w:instrText>
      </w:r>
      <w:r>
        <w:fldChar w:fldCharType="separate"/>
      </w:r>
      <w:r>
        <w:t xml:space="preserve">Item 9 </w:t>
      </w:r>
      <w:r>
        <w:fldChar w:fldCharType="end"/>
      </w:r>
      <w:r>
        <w:t>:</w:t>
      </w:r>
    </w:p>
    <w:p w:rsidR="001B3D5D" w:rsidRDefault="004D5502">
      <w:pPr>
        <w:pStyle w:val="MELegal4"/>
      </w:pPr>
      <w:r>
        <w:t xml:space="preserve">the commencement date, the term, the termination date, the CPI review dates and the market review dates are to be those first specified in </w:t>
      </w:r>
      <w:r>
        <w:fldChar w:fldCharType="begin"/>
      </w:r>
      <w:r>
        <w:instrText xml:space="preserve"> REF _Ref311706847 \w \h  \* MERGEFORMAT </w:instrText>
      </w:r>
      <w:r>
        <w:fldChar w:fldCharType="separate"/>
      </w:r>
      <w:r>
        <w:t xml:space="preserve">Item 9 </w:t>
      </w:r>
      <w:r>
        <w:fldChar w:fldCharType="end"/>
      </w:r>
      <w:r>
        <w:t>; and</w:t>
      </w:r>
    </w:p>
    <w:p w:rsidR="001B3D5D" w:rsidRDefault="004D5502">
      <w:pPr>
        <w:pStyle w:val="MELegal4"/>
      </w:pPr>
      <w:r>
        <w:t xml:space="preserve">the particulars of the new lease first specified are deleted from </w:t>
      </w:r>
      <w:r>
        <w:fldChar w:fldCharType="begin"/>
      </w:r>
      <w:r>
        <w:instrText xml:space="preserve"> REF _Ref311706847 \w \h  \* MERGEFORMAT </w:instrText>
      </w:r>
      <w:r>
        <w:fldChar w:fldCharType="separate"/>
      </w:r>
      <w:r>
        <w:t xml:space="preserve">Item 9 </w:t>
      </w:r>
      <w:r>
        <w:fldChar w:fldCharType="end"/>
      </w:r>
      <w:r>
        <w:t>;</w:t>
      </w:r>
    </w:p>
    <w:p w:rsidR="001B3D5D" w:rsidRDefault="004D5502">
      <w:pPr>
        <w:pStyle w:val="MELegal3"/>
      </w:pPr>
      <w:r>
        <w:t>an</w:t>
      </w:r>
      <w:r>
        <w:t>y incentive or delayed rent commencement date, as well as any clauses granting an incentive, are to be deleted;</w:t>
      </w:r>
    </w:p>
    <w:p w:rsidR="001B3D5D" w:rsidRDefault="004D5502">
      <w:pPr>
        <w:pStyle w:val="MELegal3"/>
      </w:pPr>
      <w:r>
        <w:t>the rent from the commencement date of the new lease is to be:</w:t>
      </w:r>
    </w:p>
    <w:p w:rsidR="001B3D5D" w:rsidRDefault="004D5502">
      <w:pPr>
        <w:pStyle w:val="MELegal4"/>
      </w:pPr>
      <w:r>
        <w:t xml:space="preserve">if the commencement date of the new lease is a CPI Review Date, the rent decided </w:t>
      </w:r>
      <w:r>
        <w:t>under clause </w:t>
      </w:r>
      <w:r>
        <w:fldChar w:fldCharType="begin"/>
      </w:r>
      <w:r>
        <w:instrText xml:space="preserve"> REF _Ref360700622 \r \h </w:instrText>
      </w:r>
      <w:r>
        <w:fldChar w:fldCharType="separate"/>
      </w:r>
      <w:r>
        <w:t>6</w:t>
      </w:r>
      <w:r>
        <w:fldChar w:fldCharType="end"/>
      </w:r>
      <w:r>
        <w:t>; or</w:t>
      </w:r>
    </w:p>
    <w:p w:rsidR="001B3D5D" w:rsidRDefault="004D5502">
      <w:pPr>
        <w:pStyle w:val="MELegal4"/>
      </w:pPr>
      <w:r>
        <w:t xml:space="preserve"> if the commencement date of the new lease is a Market Review Date, the current annual market rent decided under clause </w:t>
      </w:r>
      <w:r>
        <w:fldChar w:fldCharType="begin"/>
      </w:r>
      <w:r>
        <w:instrText xml:space="preserve"> REF _Ref339356138 \r \h </w:instrText>
      </w:r>
      <w:r>
        <w:fldChar w:fldCharType="separate"/>
      </w:r>
      <w:r>
        <w:t>7</w:t>
      </w:r>
      <w:r>
        <w:fldChar w:fldCharType="end"/>
      </w:r>
      <w:r>
        <w:t>; and</w:t>
      </w:r>
    </w:p>
    <w:p w:rsidR="001B3D5D" w:rsidRDefault="004D5502">
      <w:pPr>
        <w:pStyle w:val="MELegal3"/>
      </w:pPr>
      <w:r>
        <w:t>the new lease must reflect any variations:</w:t>
      </w:r>
    </w:p>
    <w:p w:rsidR="001B3D5D" w:rsidRDefault="004D5502">
      <w:pPr>
        <w:pStyle w:val="MELegal4"/>
      </w:pPr>
      <w:r>
        <w:t>in the ownership of the Warehouse Land; and</w:t>
      </w:r>
    </w:p>
    <w:p w:rsidR="001B3D5D" w:rsidRDefault="004D5502">
      <w:pPr>
        <w:pStyle w:val="MELegal4"/>
      </w:pPr>
      <w:r>
        <w:t>to this lease,</w:t>
      </w:r>
    </w:p>
    <w:p w:rsidR="001B3D5D" w:rsidRDefault="004D5502">
      <w:pPr>
        <w:ind w:left="1360"/>
      </w:pPr>
      <w:r>
        <w:t xml:space="preserve">which become effective during the Term and any changes required to reflect </w:t>
      </w:r>
      <w:r>
        <w:t>changes in the Landlord's then current precedent lease for the Warehousing Complex.</w:t>
      </w:r>
    </w:p>
    <w:p w:rsidR="001B3D5D" w:rsidRDefault="004D5502">
      <w:pPr>
        <w:pStyle w:val="MELegal2"/>
      </w:pPr>
      <w:bookmarkStart w:id="671" w:name="_Toc345578311"/>
      <w:bookmarkStart w:id="672" w:name="_Toc411870714"/>
      <w:r>
        <w:t>Security Amount</w:t>
      </w:r>
      <w:bookmarkEnd w:id="671"/>
      <w:bookmarkEnd w:id="672"/>
    </w:p>
    <w:p w:rsidR="001B3D5D" w:rsidRDefault="004D5502">
      <w:pPr>
        <w:ind w:left="680"/>
      </w:pPr>
      <w:r>
        <w:t>On or before the commencement date of any new lease granted under clause </w:t>
      </w:r>
      <w:r>
        <w:fldChar w:fldCharType="begin"/>
      </w:r>
      <w:r>
        <w:instrText xml:space="preserve"> REF _Ref311706889 \w \h  \* MERGEFORMAT </w:instrText>
      </w:r>
      <w:r>
        <w:fldChar w:fldCharType="separate"/>
      </w:r>
      <w:r>
        <w:t>19</w:t>
      </w:r>
      <w:r>
        <w:fldChar w:fldCharType="end"/>
      </w:r>
      <w:r>
        <w:t>, the Tenant must give to the Landlord a replacement Bank Guarantee or Insurance Bond for the Security Amount, so that the amount of the Bank Guarantee or Insurance Bond is increased to the Security Amount.</w:t>
      </w:r>
    </w:p>
    <w:p w:rsidR="001B3D5D" w:rsidRDefault="004D5502">
      <w:pPr>
        <w:pStyle w:val="MELegal1"/>
      </w:pPr>
      <w:bookmarkStart w:id="673" w:name="_Toc334110500"/>
      <w:bookmarkStart w:id="674" w:name="_Ref335330192"/>
      <w:bookmarkStart w:id="675" w:name="_Ref342299207"/>
      <w:bookmarkStart w:id="676" w:name="_Ref342299211"/>
      <w:bookmarkStart w:id="677" w:name="_Toc345578312"/>
      <w:bookmarkStart w:id="678" w:name="_Toc411870715"/>
      <w:bookmarkStart w:id="679" w:name="_Ref360702605"/>
      <w:r>
        <w:t>Licensed Area</w:t>
      </w:r>
      <w:bookmarkEnd w:id="673"/>
      <w:bookmarkEnd w:id="674"/>
      <w:bookmarkEnd w:id="675"/>
      <w:bookmarkEnd w:id="676"/>
      <w:bookmarkEnd w:id="677"/>
      <w:r>
        <w:t>s</w:t>
      </w:r>
      <w:bookmarkEnd w:id="678"/>
      <w:r>
        <w:t xml:space="preserve"> </w:t>
      </w:r>
      <w:bookmarkEnd w:id="679"/>
    </w:p>
    <w:p w:rsidR="001B3D5D" w:rsidRDefault="004D5502">
      <w:pPr>
        <w:pStyle w:val="MELegal2"/>
      </w:pPr>
      <w:bookmarkStart w:id="680" w:name="_Toc411262889"/>
      <w:bookmarkStart w:id="681" w:name="_Toc334110502"/>
      <w:bookmarkStart w:id="682" w:name="_Toc345578314"/>
      <w:bookmarkStart w:id="683" w:name="_Toc411870716"/>
      <w:bookmarkEnd w:id="680"/>
      <w:r>
        <w:t>Tenan</w:t>
      </w:r>
      <w:r>
        <w:t>t's rights</w:t>
      </w:r>
      <w:bookmarkEnd w:id="681"/>
      <w:bookmarkEnd w:id="682"/>
      <w:bookmarkEnd w:id="683"/>
    </w:p>
    <w:p w:rsidR="001B3D5D" w:rsidRDefault="004D5502">
      <w:pPr>
        <w:pStyle w:val="MELegal3"/>
      </w:pPr>
      <w:r>
        <w:t>The Tenant may, throughout the Term, use:</w:t>
      </w:r>
    </w:p>
    <w:p w:rsidR="001B3D5D" w:rsidRDefault="004D5502">
      <w:pPr>
        <w:pStyle w:val="MELegal4"/>
      </w:pPr>
      <w:r>
        <w:t>Licensed Area 1 for the purpose of unloading and loading stock to and from the Premises; and</w:t>
      </w:r>
    </w:p>
    <w:p w:rsidR="001B3D5D" w:rsidRDefault="004D5502">
      <w:pPr>
        <w:pStyle w:val="MELegal4"/>
      </w:pPr>
      <w:r>
        <w:t>Licensed Area 2 for the purpose of parking vehicles,</w:t>
      </w:r>
    </w:p>
    <w:p w:rsidR="001B3D5D" w:rsidRDefault="004D5502">
      <w:pPr>
        <w:pStyle w:val="MELegal4"/>
        <w:numPr>
          <w:ilvl w:val="0"/>
          <w:numId w:val="0"/>
        </w:numPr>
        <w:ind w:left="1361"/>
      </w:pPr>
      <w:r>
        <w:lastRenderedPageBreak/>
        <w:t>subject to any reasonable conditions the Landlord may imp</w:t>
      </w:r>
      <w:r>
        <w:t>ose from time to time.</w:t>
      </w:r>
    </w:p>
    <w:p w:rsidR="001B3D5D" w:rsidRDefault="004D5502">
      <w:pPr>
        <w:pStyle w:val="MELegal3"/>
      </w:pPr>
      <w:r>
        <w:t xml:space="preserve">Without limiting this clause </w:t>
      </w:r>
      <w:r>
        <w:fldChar w:fldCharType="begin"/>
      </w:r>
      <w:r>
        <w:instrText xml:space="preserve"> REF _Ref360702605 \r \h </w:instrText>
      </w:r>
      <w:r>
        <w:fldChar w:fldCharType="separate"/>
      </w:r>
      <w:r>
        <w:t>20</w:t>
      </w:r>
      <w:r>
        <w:fldChar w:fldCharType="end"/>
      </w:r>
      <w:r>
        <w:t>, the Tenant must not store of the Tenant's Fixtures (including any stock) in the Licensed Areas (other than p</w:t>
      </w:r>
      <w:r>
        <w:t xml:space="preserve">arking vehicles in Licensed Area 2). </w:t>
      </w:r>
    </w:p>
    <w:p w:rsidR="001B3D5D" w:rsidRDefault="004D5502">
      <w:pPr>
        <w:pStyle w:val="MELegal3"/>
      </w:pPr>
      <w:r>
        <w:t xml:space="preserve">The Tenant may use the Licensed Areas as licensee and does not have the right to exclusive possession of the Licensed Areas.  </w:t>
      </w:r>
    </w:p>
    <w:p w:rsidR="001B3D5D" w:rsidRDefault="004D5502">
      <w:pPr>
        <w:pStyle w:val="MELegal2"/>
      </w:pPr>
      <w:bookmarkStart w:id="684" w:name="_Toc334110503"/>
      <w:bookmarkStart w:id="685" w:name="_Toc345578315"/>
      <w:bookmarkStart w:id="686" w:name="_Toc411870717"/>
      <w:r>
        <w:t>Tenant's obligations</w:t>
      </w:r>
      <w:bookmarkEnd w:id="684"/>
      <w:bookmarkEnd w:id="685"/>
      <w:bookmarkEnd w:id="686"/>
    </w:p>
    <w:p w:rsidR="001B3D5D" w:rsidRDefault="004D5502">
      <w:pPr>
        <w:pStyle w:val="MELegal3"/>
      </w:pPr>
      <w:bookmarkStart w:id="687" w:name="_Ref311707693"/>
      <w:r>
        <w:t xml:space="preserve">The provisions of this lease apply to the Licensed Areas as if the </w:t>
      </w:r>
      <w:r>
        <w:t>Licensed Areas were part of the Premises.</w:t>
      </w:r>
      <w:bookmarkEnd w:id="687"/>
    </w:p>
    <w:p w:rsidR="001B3D5D" w:rsidRDefault="004D5502">
      <w:pPr>
        <w:pStyle w:val="MELegal3"/>
      </w:pPr>
      <w:bookmarkStart w:id="688" w:name="_Ref311707696"/>
      <w:r>
        <w:t>The Tenant's use of the Licensed Areas is at the Tenant's risk.</w:t>
      </w:r>
      <w:bookmarkEnd w:id="688"/>
    </w:p>
    <w:p w:rsidR="001B3D5D" w:rsidRDefault="004D5502">
      <w:pPr>
        <w:pStyle w:val="MELegal3"/>
      </w:pPr>
      <w:r>
        <w:t>Without limiting clause </w:t>
      </w:r>
      <w:r>
        <w:fldChar w:fldCharType="begin"/>
      </w:r>
      <w:r>
        <w:instrText xml:space="preserve"> REF _Ref311707693 \w \h  \* MERGEFORMAT </w:instrText>
      </w:r>
      <w:r>
        <w:fldChar w:fldCharType="separate"/>
      </w:r>
      <w:r>
        <w:t>20.2(a)</w:t>
      </w:r>
      <w:r>
        <w:fldChar w:fldCharType="end"/>
      </w:r>
      <w:r>
        <w:t xml:space="preserve"> and </w:t>
      </w:r>
      <w:r>
        <w:fldChar w:fldCharType="begin"/>
      </w:r>
      <w:r>
        <w:instrText xml:space="preserve"> RE</w:instrText>
      </w:r>
      <w:r>
        <w:instrText xml:space="preserve">F _Ref311707696 \w \h  \* MERGEFORMAT </w:instrText>
      </w:r>
      <w:r>
        <w:fldChar w:fldCharType="separate"/>
      </w:r>
      <w:r>
        <w:t>20.2(b)</w:t>
      </w:r>
      <w:r>
        <w:fldChar w:fldCharType="end"/>
      </w:r>
      <w:r>
        <w:t>, the Tenant must:</w:t>
      </w:r>
    </w:p>
    <w:p w:rsidR="001B3D5D" w:rsidRDefault="004D5502">
      <w:pPr>
        <w:pStyle w:val="MELegal4"/>
      </w:pPr>
      <w:r>
        <w:t>keep and maintain the Licensed Areas in good condition;</w:t>
      </w:r>
    </w:p>
    <w:p w:rsidR="001B3D5D" w:rsidRDefault="004D5502">
      <w:pPr>
        <w:pStyle w:val="MELegal4"/>
      </w:pPr>
      <w:r>
        <w:t>keep the Licensed Areas clean and tidy;</w:t>
      </w:r>
    </w:p>
    <w:p w:rsidR="001B3D5D" w:rsidRDefault="004D5502">
      <w:pPr>
        <w:pStyle w:val="MELegal4"/>
      </w:pPr>
      <w:r>
        <w:t xml:space="preserve">maintain the insurance for the </w:t>
      </w:r>
      <w:r>
        <w:t>Licensed Areas; and</w:t>
      </w:r>
    </w:p>
    <w:p w:rsidR="001B3D5D" w:rsidRDefault="004D5502">
      <w:pPr>
        <w:pStyle w:val="MELegal4"/>
      </w:pPr>
      <w:r>
        <w:t>indemnify the Landlord,</w:t>
      </w:r>
    </w:p>
    <w:p w:rsidR="001B3D5D" w:rsidRDefault="004D5502">
      <w:pPr>
        <w:ind w:left="1360"/>
      </w:pPr>
      <w:r>
        <w:t>in the same manner and to the same extent as provided in this lease as if the Licensed Areas were part of the Premises.</w:t>
      </w:r>
    </w:p>
    <w:p w:rsidR="001B3D5D" w:rsidRDefault="004D5502">
      <w:pPr>
        <w:pStyle w:val="MELegal3"/>
      </w:pPr>
      <w:r>
        <w:t xml:space="preserve">If the Tenant does not comply with the Operating Rules to the extent that they apply to the </w:t>
      </w:r>
      <w:r>
        <w:t xml:space="preserve">Licensed Areas, the Landlord (acting reasonably, and consistently with the regime provided for in clause </w:t>
      </w:r>
      <w:r>
        <w:fldChar w:fldCharType="begin"/>
      </w:r>
      <w:r>
        <w:instrText xml:space="preserve"> REF _Ref371670109 \r \h </w:instrText>
      </w:r>
      <w:r>
        <w:fldChar w:fldCharType="separate"/>
      </w:r>
      <w:r>
        <w:t>12.3(d)</w:t>
      </w:r>
      <w:r>
        <w:fldChar w:fldCharType="end"/>
      </w:r>
      <w:r>
        <w:t>) may, by giving written notice to the Tenant, suspe</w:t>
      </w:r>
      <w:r>
        <w:t xml:space="preserve">nd the Tenant's right to use the whole or any part of the Licensed Areas. </w:t>
      </w:r>
    </w:p>
    <w:p w:rsidR="001B3D5D" w:rsidRDefault="004D5502">
      <w:pPr>
        <w:pStyle w:val="MELegal3"/>
      </w:pPr>
      <w:r>
        <w:t>Despite clause </w:t>
      </w:r>
      <w:r>
        <w:fldChar w:fldCharType="begin"/>
      </w:r>
      <w:r>
        <w:instrText xml:space="preserve"> REF _Ref311707693 \w \h  \* MERGEFORMAT </w:instrText>
      </w:r>
      <w:r>
        <w:fldChar w:fldCharType="separate"/>
      </w:r>
      <w:r>
        <w:t>20.2(a)</w:t>
      </w:r>
      <w:r>
        <w:fldChar w:fldCharType="end"/>
      </w:r>
      <w:r>
        <w:t>, the Tenant is not required to pay a separate fee</w:t>
      </w:r>
      <w:r>
        <w:t xml:space="preserve"> for the Licensed Areas.  However, the use by the Tenant of the Licensed Areas may be taken into account in any market rent review under clause </w:t>
      </w:r>
      <w:r>
        <w:fldChar w:fldCharType="begin"/>
      </w:r>
      <w:r>
        <w:instrText xml:space="preserve"> REF _Ref341089355 \w \h  \* MERGEFORMAT </w:instrText>
      </w:r>
      <w:r>
        <w:fldChar w:fldCharType="separate"/>
      </w:r>
      <w:r>
        <w:t>7</w:t>
      </w:r>
      <w:r>
        <w:fldChar w:fldCharType="end"/>
      </w:r>
      <w:r>
        <w:t xml:space="preserve">. </w:t>
      </w:r>
    </w:p>
    <w:p w:rsidR="001B3D5D" w:rsidRDefault="004D5502">
      <w:pPr>
        <w:pStyle w:val="MELegal2"/>
      </w:pPr>
      <w:bookmarkStart w:id="689" w:name="_Toc334110504"/>
      <w:bookmarkStart w:id="690" w:name="_Toc345578316"/>
      <w:bookmarkStart w:id="691" w:name="_Toc411870718"/>
      <w:r>
        <w:t>Breach</w:t>
      </w:r>
      <w:bookmarkEnd w:id="689"/>
      <w:bookmarkEnd w:id="690"/>
      <w:bookmarkEnd w:id="691"/>
    </w:p>
    <w:p w:rsidR="001B3D5D" w:rsidRDefault="004D5502">
      <w:pPr>
        <w:ind w:left="680"/>
      </w:pPr>
      <w:r>
        <w:t>If the Tenant breaches this clause </w:t>
      </w:r>
      <w:r>
        <w:fldChar w:fldCharType="begin"/>
      </w:r>
      <w:r>
        <w:instrText xml:space="preserve"> REF _Ref335330192 \r \h  \* MERGEFORMAT </w:instrText>
      </w:r>
      <w:r>
        <w:fldChar w:fldCharType="separate"/>
      </w:r>
      <w:r>
        <w:t>20</w:t>
      </w:r>
      <w:r>
        <w:fldChar w:fldCharType="end"/>
      </w:r>
      <w:r>
        <w:t>, clause </w:t>
      </w:r>
      <w:r>
        <w:fldChar w:fldCharType="begin"/>
      </w:r>
      <w:r>
        <w:instrText xml:space="preserve"> REF _Ref315815603 \r \h  \* MERGEFORMAT </w:instrText>
      </w:r>
      <w:r>
        <w:fldChar w:fldCharType="separate"/>
      </w:r>
      <w:r>
        <w:t>13</w:t>
      </w:r>
      <w:r>
        <w:fldChar w:fldCharType="end"/>
      </w:r>
      <w:r>
        <w:t xml:space="preserve"> applies.</w:t>
      </w:r>
    </w:p>
    <w:p w:rsidR="001B3D5D" w:rsidRDefault="004D5502">
      <w:pPr>
        <w:pStyle w:val="MELegal2"/>
      </w:pPr>
      <w:bookmarkStart w:id="692" w:name="_Toc334110505"/>
      <w:bookmarkStart w:id="693" w:name="_Toc345578317"/>
      <w:bookmarkStart w:id="694" w:name="_Toc411870719"/>
      <w:r>
        <w:t>Assignment</w:t>
      </w:r>
      <w:bookmarkEnd w:id="692"/>
      <w:bookmarkEnd w:id="693"/>
      <w:bookmarkEnd w:id="694"/>
    </w:p>
    <w:p w:rsidR="001B3D5D" w:rsidRDefault="004D5502">
      <w:pPr>
        <w:pStyle w:val="MELegal3"/>
      </w:pPr>
      <w:r>
        <w:t>If the Tenant assigns this lease with the Landlord's consent:</w:t>
      </w:r>
    </w:p>
    <w:p w:rsidR="001B3D5D" w:rsidRDefault="004D5502">
      <w:pPr>
        <w:pStyle w:val="MELegal4"/>
      </w:pPr>
      <w:r>
        <w:t>the Tenant must also transfer (and will be taken to have transferred) the Tenant's rights under this clause </w:t>
      </w:r>
      <w:r>
        <w:fldChar w:fldCharType="begin"/>
      </w:r>
      <w:r>
        <w:instrText xml:space="preserve"> REF _Ref335330192 \r \h  \* MERGEFORMAT </w:instrText>
      </w:r>
      <w:r>
        <w:fldChar w:fldCharType="separate"/>
      </w:r>
      <w:r>
        <w:t>20</w:t>
      </w:r>
      <w:r>
        <w:fldChar w:fldCharType="end"/>
      </w:r>
      <w:r>
        <w:t>; and</w:t>
      </w:r>
    </w:p>
    <w:p w:rsidR="001B3D5D" w:rsidRDefault="004D5502">
      <w:pPr>
        <w:pStyle w:val="MELegal4"/>
      </w:pPr>
      <w:r>
        <w:t>the Landlord must consent (and will be taken to have consented) to the transfer of the Tenant's rights under this clause </w:t>
      </w:r>
      <w:r>
        <w:fldChar w:fldCharType="begin"/>
      </w:r>
      <w:r>
        <w:instrText xml:space="preserve"> REF _Ref335330192 \r \h  \* MERGEFORMAT </w:instrText>
      </w:r>
      <w:r>
        <w:fldChar w:fldCharType="separate"/>
      </w:r>
      <w:r>
        <w:t>20</w:t>
      </w:r>
      <w:r>
        <w:fldChar w:fldCharType="end"/>
      </w:r>
      <w:r>
        <w:t>.</w:t>
      </w:r>
    </w:p>
    <w:p w:rsidR="001B3D5D" w:rsidRDefault="004D5502">
      <w:pPr>
        <w:pStyle w:val="MELegal3"/>
      </w:pPr>
      <w:r>
        <w:t>If the Landlord assigns or disposes of its interest in this lease, the Head-Lease or the Premises:</w:t>
      </w:r>
    </w:p>
    <w:p w:rsidR="001B3D5D" w:rsidRDefault="004D5502">
      <w:pPr>
        <w:pStyle w:val="MELegal4"/>
      </w:pPr>
      <w:r>
        <w:t>the Landlord must transfer (and will be taken to have transferred) the Landlord's rights under this clause </w:t>
      </w:r>
      <w:r>
        <w:fldChar w:fldCharType="begin"/>
      </w:r>
      <w:r>
        <w:instrText xml:space="preserve"> REF _Ref335330192 \r \h  \* MERGEFORMAT </w:instrText>
      </w:r>
      <w:r>
        <w:fldChar w:fldCharType="separate"/>
      </w:r>
      <w:r>
        <w:t>20</w:t>
      </w:r>
      <w:r>
        <w:fldChar w:fldCharType="end"/>
      </w:r>
      <w:r>
        <w:t xml:space="preserve"> to the new party; </w:t>
      </w:r>
    </w:p>
    <w:p w:rsidR="001B3D5D" w:rsidRDefault="004D5502">
      <w:pPr>
        <w:pStyle w:val="MELegal4"/>
      </w:pPr>
      <w:r>
        <w:t xml:space="preserve">the Tenant must comply with its obligations under this clause </w:t>
      </w:r>
      <w:r>
        <w:fldChar w:fldCharType="begin"/>
      </w:r>
      <w:r>
        <w:instrText xml:space="preserve"> REF _Ref335330192 \r \h  \* MERGEFORMAT </w:instrText>
      </w:r>
      <w:r>
        <w:fldChar w:fldCharType="separate"/>
      </w:r>
      <w:r>
        <w:t>20</w:t>
      </w:r>
      <w:r>
        <w:fldChar w:fldCharType="end"/>
      </w:r>
      <w:r>
        <w:t xml:space="preserve"> in favour of the new party; and</w:t>
      </w:r>
    </w:p>
    <w:p w:rsidR="001B3D5D" w:rsidRDefault="004D5502">
      <w:pPr>
        <w:pStyle w:val="MELegal4"/>
      </w:pPr>
      <w:r>
        <w:t>the Tenant releases the Landlord from complying with the Landlord's obligations under this clause </w:t>
      </w:r>
      <w:r>
        <w:fldChar w:fldCharType="begin"/>
      </w:r>
      <w:r>
        <w:instrText xml:space="preserve"> REF _Ref335330192 \r \h  \* MERGEFORMAT </w:instrText>
      </w:r>
      <w:r>
        <w:fldChar w:fldCharType="separate"/>
      </w:r>
      <w:r>
        <w:t>20</w:t>
      </w:r>
      <w:r>
        <w:fldChar w:fldCharType="end"/>
      </w:r>
      <w:r>
        <w:t xml:space="preserve"> on and from the date the Landlord's rights are transferred to </w:t>
      </w:r>
      <w:r>
        <w:lastRenderedPageBreak/>
        <w:t>the new party (to the extent that the new party has accepted liability for those obligations).</w:t>
      </w:r>
    </w:p>
    <w:p w:rsidR="001B3D5D" w:rsidRDefault="004D5502">
      <w:pPr>
        <w:pStyle w:val="MELegal2"/>
      </w:pPr>
      <w:bookmarkStart w:id="695" w:name="_Ref311707678"/>
      <w:bookmarkStart w:id="696" w:name="_Toc334110506"/>
      <w:bookmarkStart w:id="697" w:name="_Toc345578318"/>
      <w:bookmarkStart w:id="698" w:name="_Toc411870720"/>
      <w:r>
        <w:t>Reduced area</w:t>
      </w:r>
      <w:bookmarkEnd w:id="695"/>
      <w:bookmarkEnd w:id="696"/>
      <w:bookmarkEnd w:id="697"/>
      <w:r>
        <w:t xml:space="preserve"> for Licensed Area 1</w:t>
      </w:r>
      <w:bookmarkEnd w:id="698"/>
    </w:p>
    <w:p w:rsidR="001B3D5D" w:rsidRDefault="004D5502">
      <w:pPr>
        <w:ind w:left="680"/>
      </w:pPr>
      <w:r>
        <w:t>The Landlord may for good reason an</w:t>
      </w:r>
      <w:r>
        <w:t>d acting reasonably, by not less than 28 days' notice to the Tenant, reduce Licensed Area 1 to an area specified in the Landlord's notice (</w:t>
      </w:r>
      <w:r>
        <w:rPr>
          <w:b/>
        </w:rPr>
        <w:t>Reduced Licensed Area 1</w:t>
      </w:r>
      <w:r>
        <w:t xml:space="preserve">) and specify the date from which the Tenant must start using the Reduced Licensed Area 1 and </w:t>
      </w:r>
      <w:r>
        <w:t>cease using Licensed Area 1.  The Landlord may exercise the Landlord's rights under this clause </w:t>
      </w:r>
      <w:r>
        <w:fldChar w:fldCharType="begin"/>
      </w:r>
      <w:r>
        <w:instrText xml:space="preserve"> REF _Ref311707678 \w \h  \* MERGEFORMAT </w:instrText>
      </w:r>
      <w:r>
        <w:fldChar w:fldCharType="separate"/>
      </w:r>
      <w:r>
        <w:t>20.5</w:t>
      </w:r>
      <w:r>
        <w:fldChar w:fldCharType="end"/>
      </w:r>
      <w:r>
        <w:t xml:space="preserve"> as often as the Landlord reasonably requires. </w:t>
      </w:r>
    </w:p>
    <w:p w:rsidR="001B3D5D" w:rsidRDefault="004D5502">
      <w:pPr>
        <w:pStyle w:val="MELegal1"/>
      </w:pPr>
      <w:bookmarkStart w:id="699" w:name="_Toc334110508"/>
      <w:bookmarkStart w:id="700" w:name="_Ref342299226"/>
      <w:bookmarkStart w:id="701" w:name="_Ref342299228"/>
      <w:bookmarkStart w:id="702" w:name="_Toc345578319"/>
      <w:bookmarkStart w:id="703" w:name="_Toc411870721"/>
      <w:r>
        <w:t>Retail Act</w:t>
      </w:r>
      <w:bookmarkEnd w:id="699"/>
      <w:bookmarkEnd w:id="700"/>
      <w:bookmarkEnd w:id="701"/>
      <w:bookmarkEnd w:id="702"/>
      <w:bookmarkEnd w:id="703"/>
    </w:p>
    <w:p w:rsidR="001B3D5D" w:rsidRDefault="004D5502">
      <w:pPr>
        <w:pStyle w:val="MELegal2"/>
      </w:pPr>
      <w:bookmarkStart w:id="704" w:name="_Toc334110509"/>
      <w:bookmarkStart w:id="705" w:name="_Toc345578320"/>
      <w:bookmarkStart w:id="706" w:name="_Toc411870722"/>
      <w:r>
        <w:t>No application</w:t>
      </w:r>
      <w:bookmarkEnd w:id="704"/>
      <w:bookmarkEnd w:id="705"/>
      <w:bookmarkEnd w:id="706"/>
    </w:p>
    <w:p w:rsidR="001B3D5D" w:rsidRDefault="004D5502">
      <w:pPr>
        <w:ind w:left="680"/>
      </w:pPr>
      <w:r>
        <w:t>The parties agree that the Retail Act does not apply to this lease.</w:t>
      </w:r>
    </w:p>
    <w:p w:rsidR="001B3D5D" w:rsidRDefault="004D5502">
      <w:pPr>
        <w:pStyle w:val="MELegal2"/>
      </w:pPr>
      <w:bookmarkStart w:id="707" w:name="_Toc334110510"/>
      <w:bookmarkStart w:id="708" w:name="_Toc345578321"/>
      <w:bookmarkStart w:id="709" w:name="_Toc411870723"/>
      <w:r>
        <w:t>Tenant not to cause Retail Act to apply</w:t>
      </w:r>
      <w:bookmarkEnd w:id="707"/>
      <w:bookmarkEnd w:id="708"/>
      <w:bookmarkEnd w:id="709"/>
    </w:p>
    <w:p w:rsidR="001B3D5D" w:rsidRDefault="004D5502">
      <w:pPr>
        <w:ind w:left="680"/>
      </w:pPr>
      <w:r>
        <w:t>The Tenant must not do anything or allow anything to be done on the Premises that will cause the Retail Act to apply and t</w:t>
      </w:r>
      <w:r>
        <w:t>he Tenant indemnifies the Landlord and the Head-Landlord against any loss it may suffer as a result of the breach of this clause by the Tenant.</w:t>
      </w:r>
    </w:p>
    <w:p w:rsidR="001B3D5D" w:rsidRDefault="004D5502">
      <w:pPr>
        <w:pStyle w:val="MELegal1"/>
      </w:pPr>
      <w:bookmarkStart w:id="710" w:name="_Ref323219640"/>
      <w:bookmarkStart w:id="711" w:name="_Toc334110524"/>
      <w:bookmarkStart w:id="712" w:name="_Toc345578322"/>
      <w:bookmarkStart w:id="713" w:name="_Toc411870724"/>
      <w:r>
        <w:t>General</w:t>
      </w:r>
      <w:bookmarkEnd w:id="710"/>
      <w:bookmarkEnd w:id="711"/>
      <w:bookmarkEnd w:id="712"/>
      <w:bookmarkEnd w:id="713"/>
    </w:p>
    <w:p w:rsidR="001B3D5D" w:rsidRDefault="004D5502">
      <w:pPr>
        <w:pStyle w:val="MELegal2"/>
      </w:pPr>
      <w:bookmarkStart w:id="714" w:name="_Toc333488518"/>
      <w:bookmarkStart w:id="715" w:name="_Toc345578323"/>
      <w:bookmarkStart w:id="716" w:name="_Toc411870725"/>
      <w:bookmarkStart w:id="717" w:name="_Toc334110526"/>
      <w:r>
        <w:t>Duty</w:t>
      </w:r>
      <w:bookmarkEnd w:id="714"/>
      <w:bookmarkEnd w:id="715"/>
      <w:bookmarkEnd w:id="716"/>
    </w:p>
    <w:p w:rsidR="001B3D5D" w:rsidRDefault="004D5502">
      <w:pPr>
        <w:keepNext/>
        <w:ind w:left="680"/>
      </w:pPr>
      <w:r>
        <w:t>The Tenant must, if this lease is required by Law to be stamped, pay all duty on this lease.</w:t>
      </w:r>
    </w:p>
    <w:p w:rsidR="001B3D5D" w:rsidRDefault="004D5502">
      <w:pPr>
        <w:pStyle w:val="MELegal2"/>
      </w:pPr>
      <w:bookmarkStart w:id="718" w:name="_Toc345578324"/>
      <w:bookmarkStart w:id="719" w:name="_Toc411870726"/>
      <w:r>
        <w:t>Costs</w:t>
      </w:r>
      <w:bookmarkEnd w:id="718"/>
      <w:bookmarkEnd w:id="719"/>
    </w:p>
    <w:p w:rsidR="001B3D5D" w:rsidRDefault="004D5502">
      <w:pPr>
        <w:ind w:left="680"/>
      </w:pPr>
      <w:r>
        <w:t>Each party must pay its own Costs of and incidental to the negotiation, preparation, settling, completion, execution and stamping of this lease.</w:t>
      </w:r>
    </w:p>
    <w:p w:rsidR="001B3D5D" w:rsidRDefault="004D5502">
      <w:pPr>
        <w:pStyle w:val="MELegal2"/>
      </w:pPr>
      <w:bookmarkStart w:id="720" w:name="_Toc334110527"/>
      <w:bookmarkStart w:id="721" w:name="_Ref342299247"/>
      <w:bookmarkStart w:id="722" w:name="_Ref342299262"/>
      <w:bookmarkStart w:id="723" w:name="_Ref342299268"/>
      <w:bookmarkStart w:id="724" w:name="_Toc345578325"/>
      <w:bookmarkStart w:id="725" w:name="_Toc411870727"/>
      <w:bookmarkEnd w:id="717"/>
      <w:r>
        <w:t>PPSA</w:t>
      </w:r>
      <w:bookmarkEnd w:id="720"/>
      <w:bookmarkEnd w:id="721"/>
      <w:bookmarkEnd w:id="722"/>
      <w:bookmarkEnd w:id="723"/>
      <w:bookmarkEnd w:id="724"/>
      <w:bookmarkEnd w:id="725"/>
    </w:p>
    <w:p w:rsidR="001B3D5D" w:rsidRDefault="004D5502">
      <w:pPr>
        <w:pStyle w:val="MELegal3"/>
      </w:pPr>
      <w:r>
        <w:t>The Tenant waives its right to receive any verification statement (or notice of any verification statement</w:t>
      </w:r>
      <w:r>
        <w:t xml:space="preserve">) in respect of any financing statement or financing change statement relating to any Security in favour of the Landlord created under this lease. </w:t>
      </w:r>
    </w:p>
    <w:p w:rsidR="001B3D5D" w:rsidRDefault="004D5502">
      <w:pPr>
        <w:pStyle w:val="MELegal3"/>
      </w:pPr>
      <w:r>
        <w:t>Neither party is permitted to disclose any information under section 275(1) of the PPSA, unless section 275(</w:t>
      </w:r>
      <w:r>
        <w:t xml:space="preserve">7) of the PPSA applies. </w:t>
      </w:r>
    </w:p>
    <w:p w:rsidR="001B3D5D" w:rsidRDefault="004D5502">
      <w:pPr>
        <w:pStyle w:val="MELegal3"/>
      </w:pPr>
      <w:r>
        <w:t xml:space="preserve">The Landlord and the Tenant contract out of the Landlord's obligation to dispose of or retain collateral under section 125 of the PPSA, and the Tenant's right to receive any notice under section 130 and section 135 of the PPSA and </w:t>
      </w:r>
      <w:r>
        <w:t xml:space="preserve">to receive any statement and account under section 132 of the PPSA. </w:t>
      </w:r>
    </w:p>
    <w:p w:rsidR="001B3D5D" w:rsidRDefault="004D5502">
      <w:pPr>
        <w:pStyle w:val="MELegal2"/>
      </w:pPr>
      <w:bookmarkStart w:id="726" w:name="_Toc345578326"/>
      <w:bookmarkStart w:id="727" w:name="_Toc411870728"/>
      <w:bookmarkStart w:id="728" w:name="_Toc333488497"/>
      <w:bookmarkStart w:id="729" w:name="_Toc334110528"/>
      <w:r>
        <w:t>Further assurances</w:t>
      </w:r>
      <w:bookmarkEnd w:id="726"/>
      <w:bookmarkEnd w:id="727"/>
    </w:p>
    <w:p w:rsidR="001B3D5D" w:rsidRDefault="004D5502">
      <w:r>
        <w:tab/>
        <w:t>The Tenant must do everything the Landlord reasonably requires to:</w:t>
      </w:r>
    </w:p>
    <w:p w:rsidR="001B3D5D" w:rsidRDefault="004D5502">
      <w:pPr>
        <w:pStyle w:val="MELegal3"/>
      </w:pPr>
      <w:r>
        <w:t xml:space="preserve">bind the Tenant under this lease; </w:t>
      </w:r>
    </w:p>
    <w:p w:rsidR="001B3D5D" w:rsidRDefault="004D5502">
      <w:pPr>
        <w:pStyle w:val="MELegal3"/>
      </w:pPr>
      <w:r>
        <w:t>allow the Landlord to exercise a right under this lease; and</w:t>
      </w:r>
    </w:p>
    <w:p w:rsidR="001B3D5D" w:rsidRDefault="004D5502">
      <w:pPr>
        <w:pStyle w:val="MELegal3"/>
      </w:pPr>
      <w:r>
        <w:t xml:space="preserve">to give full effect to this lease, </w:t>
      </w:r>
    </w:p>
    <w:p w:rsidR="001B3D5D" w:rsidRDefault="004D5502">
      <w:pPr>
        <w:ind w:left="680" w:hanging="680"/>
      </w:pPr>
      <w:r>
        <w:tab/>
        <w:t>including, in relation to any Security in favour of the Landlord, anything necessary for the purposes of:</w:t>
      </w:r>
    </w:p>
    <w:p w:rsidR="001B3D5D" w:rsidRDefault="004D5502">
      <w:pPr>
        <w:pStyle w:val="MELegal3"/>
      </w:pPr>
      <w:r>
        <w:lastRenderedPageBreak/>
        <w:t xml:space="preserve">ensuring that the Security is enforceable, perfected and otherwise effective; </w:t>
      </w:r>
    </w:p>
    <w:p w:rsidR="001B3D5D" w:rsidRDefault="004D5502">
      <w:pPr>
        <w:pStyle w:val="MELegal3"/>
      </w:pPr>
      <w:r>
        <w:t xml:space="preserve">enabling registration, or giving </w:t>
      </w:r>
      <w:r>
        <w:t>notification, in connection with that Security so that the Security has priority; or</w:t>
      </w:r>
    </w:p>
    <w:p w:rsidR="001B3D5D" w:rsidRDefault="004D5502">
      <w:pPr>
        <w:pStyle w:val="MELegal3"/>
      </w:pPr>
      <w:r>
        <w:t xml:space="preserve">exercising rights in connection with that Security. </w:t>
      </w:r>
    </w:p>
    <w:p w:rsidR="001B3D5D" w:rsidRDefault="004D5502">
      <w:pPr>
        <w:pStyle w:val="MELegal2"/>
      </w:pPr>
      <w:bookmarkStart w:id="730" w:name="_Toc345578327"/>
      <w:bookmarkStart w:id="731" w:name="_Toc411870729"/>
      <w:r>
        <w:t>Severability</w:t>
      </w:r>
      <w:bookmarkEnd w:id="728"/>
      <w:bookmarkEnd w:id="730"/>
      <w:bookmarkEnd w:id="731"/>
    </w:p>
    <w:p w:rsidR="001B3D5D" w:rsidRDefault="004D5502">
      <w:pPr>
        <w:keepNext/>
        <w:ind w:left="680"/>
      </w:pPr>
      <w:r>
        <w:t>If an Authority holds that:</w:t>
      </w:r>
    </w:p>
    <w:p w:rsidR="001B3D5D" w:rsidRDefault="004D5502">
      <w:pPr>
        <w:pStyle w:val="MELegal3"/>
      </w:pPr>
      <w:r>
        <w:t>part of this lease is void, voidable, illegal or otherwise unenforceable; or</w:t>
      </w:r>
    </w:p>
    <w:p w:rsidR="001B3D5D" w:rsidRDefault="004D5502">
      <w:pPr>
        <w:pStyle w:val="MELegal3"/>
      </w:pPr>
      <w:r>
        <w:t>this lease would be void, voidable, illegal or otherwise unenforceable unless a provision of this lease is severed from this lease,</w:t>
      </w:r>
    </w:p>
    <w:p w:rsidR="001B3D5D" w:rsidRDefault="004D5502">
      <w:pPr>
        <w:ind w:left="680"/>
      </w:pPr>
      <w:r>
        <w:t>then that part will be severed from this lease and will not affect the continued operation of the rest of this lease.</w:t>
      </w:r>
    </w:p>
    <w:p w:rsidR="001B3D5D" w:rsidRDefault="004D5502">
      <w:pPr>
        <w:pStyle w:val="MELegal2"/>
      </w:pPr>
      <w:bookmarkStart w:id="732" w:name="_Toc333488498"/>
      <w:bookmarkStart w:id="733" w:name="_Toc345578328"/>
      <w:bookmarkStart w:id="734" w:name="_Toc411870730"/>
      <w:r>
        <w:t xml:space="preserve">Whole </w:t>
      </w:r>
      <w:r>
        <w:t>agreement</w:t>
      </w:r>
      <w:bookmarkEnd w:id="732"/>
      <w:bookmarkEnd w:id="733"/>
      <w:bookmarkEnd w:id="734"/>
    </w:p>
    <w:p w:rsidR="001B3D5D" w:rsidRDefault="004D5502">
      <w:pPr>
        <w:ind w:left="680"/>
      </w:pPr>
      <w:r>
        <w:t>This lease comprises the whole of the agreement between the parties concerning its subject matter.</w:t>
      </w:r>
    </w:p>
    <w:p w:rsidR="001B3D5D" w:rsidRDefault="004D5502">
      <w:pPr>
        <w:pStyle w:val="MELegal2"/>
      </w:pPr>
      <w:bookmarkStart w:id="735" w:name="_Toc333488499"/>
      <w:bookmarkStart w:id="736" w:name="_Toc345578329"/>
      <w:bookmarkStart w:id="737" w:name="_Toc411870731"/>
      <w:r>
        <w:t>Effect of execution</w:t>
      </w:r>
      <w:bookmarkEnd w:id="735"/>
      <w:bookmarkEnd w:id="736"/>
      <w:bookmarkEnd w:id="737"/>
    </w:p>
    <w:p w:rsidR="001B3D5D" w:rsidRDefault="004D5502">
      <w:pPr>
        <w:ind w:left="680"/>
      </w:pPr>
      <w:r>
        <w:t>This lease binds each person who executes it as a Tenant, even if any other person named as Tenant has not executed or never ex</w:t>
      </w:r>
      <w:r>
        <w:t>ecutes this lease, or the execution of this lease by any of those persons (except the person sought to be made liable) is or becomes void or voidable.</w:t>
      </w:r>
    </w:p>
    <w:p w:rsidR="001B3D5D" w:rsidRDefault="004D5502">
      <w:pPr>
        <w:pStyle w:val="MELegal2"/>
      </w:pPr>
      <w:bookmarkStart w:id="738" w:name="_Toc345578330"/>
      <w:bookmarkStart w:id="739" w:name="_Toc411870732"/>
      <w:r>
        <w:t>Governing law</w:t>
      </w:r>
      <w:bookmarkEnd w:id="729"/>
      <w:bookmarkEnd w:id="738"/>
      <w:bookmarkEnd w:id="739"/>
    </w:p>
    <w:p w:rsidR="001B3D5D" w:rsidRDefault="004D5502">
      <w:pPr>
        <w:ind w:left="680"/>
      </w:pPr>
      <w:r>
        <w:t>This lease is governed by the Laws of the State and the Commonwealth of Australia and the L</w:t>
      </w:r>
      <w:r>
        <w:t>andlord and the Tenant submit to the non-exclusive jurisdiction of the Courts of the State.</w:t>
      </w:r>
    </w:p>
    <w:p w:rsidR="001B3D5D" w:rsidRDefault="004D5502">
      <w:pPr>
        <w:pStyle w:val="MELegal2"/>
      </w:pPr>
      <w:bookmarkStart w:id="740" w:name="_Toc145757198"/>
      <w:bookmarkStart w:id="741" w:name="_Toc157500075"/>
      <w:bookmarkStart w:id="742" w:name="_Toc158003688"/>
      <w:bookmarkStart w:id="743" w:name="_Toc334110529"/>
      <w:bookmarkStart w:id="744" w:name="_Toc345578331"/>
      <w:bookmarkStart w:id="745" w:name="_Toc411870733"/>
      <w:r>
        <w:t>Compliance by others</w:t>
      </w:r>
      <w:bookmarkEnd w:id="740"/>
      <w:bookmarkEnd w:id="741"/>
      <w:bookmarkEnd w:id="742"/>
      <w:bookmarkEnd w:id="743"/>
      <w:bookmarkEnd w:id="744"/>
      <w:bookmarkEnd w:id="745"/>
    </w:p>
    <w:p w:rsidR="001B3D5D" w:rsidRDefault="004D5502">
      <w:pPr>
        <w:ind w:left="680"/>
      </w:pPr>
      <w:r>
        <w:t>The Tenant must ensure that the Tenant's Agents comply, if appropriate, with the Tenant's obligations under this lease.</w:t>
      </w:r>
    </w:p>
    <w:p w:rsidR="001B3D5D" w:rsidRDefault="004D5502">
      <w:pPr>
        <w:pStyle w:val="MELegal2"/>
      </w:pPr>
      <w:bookmarkStart w:id="746" w:name="_Toc271095388"/>
      <w:bookmarkStart w:id="747" w:name="_Toc334110530"/>
      <w:bookmarkStart w:id="748" w:name="_Toc345578332"/>
      <w:bookmarkStart w:id="749" w:name="_Toc411870734"/>
      <w:bookmarkStart w:id="750" w:name="_Toc145757275"/>
      <w:bookmarkStart w:id="751" w:name="_Toc157500076"/>
      <w:bookmarkStart w:id="752" w:name="_Toc158003689"/>
      <w:r>
        <w:t>Alterations</w:t>
      </w:r>
      <w:bookmarkEnd w:id="746"/>
      <w:bookmarkEnd w:id="747"/>
      <w:bookmarkEnd w:id="748"/>
      <w:bookmarkEnd w:id="749"/>
    </w:p>
    <w:p w:rsidR="001B3D5D" w:rsidRDefault="004D5502">
      <w:pPr>
        <w:ind w:left="680"/>
      </w:pPr>
      <w:r>
        <w:t xml:space="preserve">This lease </w:t>
      </w:r>
      <w:r>
        <w:t>may be altered only in writing signed by each party.</w:t>
      </w:r>
    </w:p>
    <w:p w:rsidR="001B3D5D" w:rsidRDefault="004D5502">
      <w:pPr>
        <w:pStyle w:val="MELegal2"/>
      </w:pPr>
      <w:bookmarkStart w:id="753" w:name="_Toc271095389"/>
      <w:bookmarkStart w:id="754" w:name="_Toc334110531"/>
      <w:bookmarkStart w:id="755" w:name="_Toc345578333"/>
      <w:bookmarkStart w:id="756" w:name="_Toc411870735"/>
      <w:r>
        <w:t>Approvals and consents</w:t>
      </w:r>
      <w:bookmarkEnd w:id="753"/>
      <w:bookmarkEnd w:id="754"/>
      <w:bookmarkEnd w:id="755"/>
      <w:bookmarkEnd w:id="756"/>
    </w:p>
    <w:p w:rsidR="001B3D5D" w:rsidRDefault="004D5502">
      <w:pPr>
        <w:ind w:left="680"/>
      </w:pPr>
      <w:r>
        <w:t>Except where this lease expressly states otherwise, a party may withhold or give conditionally any approval or consent under this lease.</w:t>
      </w:r>
    </w:p>
    <w:p w:rsidR="001B3D5D" w:rsidRDefault="004D5502">
      <w:pPr>
        <w:pStyle w:val="MELegal2"/>
      </w:pPr>
      <w:bookmarkStart w:id="757" w:name="_Toc271095390"/>
      <w:bookmarkStart w:id="758" w:name="_Toc334110532"/>
      <w:bookmarkStart w:id="759" w:name="_Toc345578334"/>
      <w:bookmarkStart w:id="760" w:name="_Toc411870736"/>
      <w:r>
        <w:t>Counterparts</w:t>
      </w:r>
      <w:bookmarkEnd w:id="757"/>
      <w:bookmarkEnd w:id="758"/>
      <w:bookmarkEnd w:id="759"/>
      <w:bookmarkEnd w:id="760"/>
    </w:p>
    <w:p w:rsidR="001B3D5D" w:rsidRDefault="004D5502">
      <w:pPr>
        <w:ind w:left="680"/>
      </w:pPr>
      <w:r>
        <w:t>This lease may be entered into</w:t>
      </w:r>
      <w:r>
        <w:t xml:space="preserve"> by the exchange of executed counterparts.</w:t>
      </w:r>
    </w:p>
    <w:p w:rsidR="001B3D5D" w:rsidRDefault="004D5502">
      <w:pPr>
        <w:pStyle w:val="MELegal2"/>
      </w:pPr>
      <w:bookmarkStart w:id="761" w:name="_Toc271095395"/>
      <w:bookmarkStart w:id="762" w:name="_Toc334110536"/>
      <w:bookmarkStart w:id="763" w:name="_Toc345578335"/>
      <w:bookmarkStart w:id="764" w:name="_Toc411870737"/>
      <w:r>
        <w:t>Waiver</w:t>
      </w:r>
      <w:bookmarkEnd w:id="761"/>
      <w:bookmarkEnd w:id="762"/>
      <w:bookmarkEnd w:id="763"/>
      <w:bookmarkEnd w:id="764"/>
    </w:p>
    <w:p w:rsidR="001B3D5D" w:rsidRDefault="004D5502">
      <w:pPr>
        <w:ind w:left="680"/>
      </w:pPr>
      <w:r>
        <w:t>A party does not waive a right, power or remedy if it fails to exercise or delays in exercising the right, power or remedy.  A single or partial exercise of a right, power or remedy does not prevent another</w:t>
      </w:r>
      <w:r>
        <w:t xml:space="preserve"> or further exercise of that or another right, power or remedy.  A waiver of a right, power or remedy must be in writing and signed by the party giving the waiver.</w:t>
      </w:r>
    </w:p>
    <w:p w:rsidR="001B3D5D" w:rsidRDefault="004D5502">
      <w:pPr>
        <w:pStyle w:val="MELegal2"/>
      </w:pPr>
      <w:bookmarkStart w:id="765" w:name="_Toc271095396"/>
      <w:bookmarkStart w:id="766" w:name="_Toc334110537"/>
      <w:bookmarkStart w:id="767" w:name="_Toc345578336"/>
      <w:bookmarkStart w:id="768" w:name="_Toc411870738"/>
      <w:r>
        <w:t>Relationship</w:t>
      </w:r>
      <w:bookmarkEnd w:id="765"/>
      <w:bookmarkEnd w:id="766"/>
      <w:bookmarkEnd w:id="767"/>
      <w:bookmarkEnd w:id="768"/>
    </w:p>
    <w:p w:rsidR="001B3D5D" w:rsidRDefault="004D5502">
      <w:pPr>
        <w:ind w:left="680"/>
      </w:pPr>
      <w:r>
        <w:t xml:space="preserve">Except where this deed expressly states otherwise, it does not create a </w:t>
      </w:r>
      <w:r>
        <w:t>relationship of employment, trust, agency or partnership between the parties.</w:t>
      </w:r>
    </w:p>
    <w:p w:rsidR="001B3D5D" w:rsidRDefault="004D5502">
      <w:pPr>
        <w:pStyle w:val="MELegal2"/>
      </w:pPr>
      <w:bookmarkStart w:id="769" w:name="_Toc145757277"/>
      <w:bookmarkStart w:id="770" w:name="_Toc157500078"/>
      <w:bookmarkStart w:id="771" w:name="_Toc158003691"/>
      <w:bookmarkStart w:id="772" w:name="_Toc334110538"/>
      <w:bookmarkStart w:id="773" w:name="_Toc345578337"/>
      <w:bookmarkStart w:id="774" w:name="_Toc411870739"/>
      <w:bookmarkEnd w:id="750"/>
      <w:bookmarkEnd w:id="751"/>
      <w:bookmarkEnd w:id="752"/>
      <w:r>
        <w:lastRenderedPageBreak/>
        <w:t>Exclusion of statutory provisions</w:t>
      </w:r>
      <w:bookmarkEnd w:id="769"/>
      <w:bookmarkEnd w:id="770"/>
      <w:bookmarkEnd w:id="771"/>
      <w:bookmarkEnd w:id="772"/>
      <w:bookmarkEnd w:id="773"/>
      <w:bookmarkEnd w:id="774"/>
    </w:p>
    <w:p w:rsidR="001B3D5D" w:rsidRDefault="004D5502">
      <w:pPr>
        <w:pStyle w:val="MELegal3"/>
      </w:pPr>
      <w:r>
        <w:t xml:space="preserve">Section 144 of the </w:t>
      </w:r>
      <w:r>
        <w:rPr>
          <w:i/>
        </w:rPr>
        <w:t>Property Law Act 1958</w:t>
      </w:r>
      <w:r>
        <w:t xml:space="preserve"> (Vic) does not apply to this lease.</w:t>
      </w:r>
    </w:p>
    <w:p w:rsidR="001B3D5D" w:rsidRDefault="004D5502">
      <w:pPr>
        <w:pStyle w:val="MELegal3"/>
      </w:pPr>
      <w:r>
        <w:t xml:space="preserve">The covenants and powers implied by the </w:t>
      </w:r>
      <w:r>
        <w:rPr>
          <w:i/>
        </w:rPr>
        <w:t>Property Law Act 1958</w:t>
      </w:r>
      <w:r>
        <w:t xml:space="preserve"> (Vic)</w:t>
      </w:r>
      <w:r>
        <w:t xml:space="preserve"> do not apply to this lease unless a particular provision of this lease specifies otherwise.</w:t>
      </w:r>
    </w:p>
    <w:p w:rsidR="001B3D5D" w:rsidRDefault="004D5502">
      <w:pPr>
        <w:pStyle w:val="MELegal3"/>
      </w:pPr>
      <w:r>
        <w:t xml:space="preserve">The covenants, powers and provisions implied in leases by section 67 of the </w:t>
      </w:r>
      <w:r>
        <w:rPr>
          <w:i/>
        </w:rPr>
        <w:t>Transfer of Land Act 1958</w:t>
      </w:r>
      <w:r>
        <w:t xml:space="preserve"> (Vic) do not apply to this lease.</w:t>
      </w:r>
    </w:p>
    <w:p w:rsidR="001B3D5D" w:rsidRDefault="004D5502">
      <w:pPr>
        <w:pStyle w:val="MELegal2"/>
      </w:pPr>
      <w:bookmarkStart w:id="775" w:name="_Toc345578338"/>
      <w:bookmarkStart w:id="776" w:name="_Toc411870740"/>
      <w:r>
        <w:t>Continuing obligations</w:t>
      </w:r>
      <w:bookmarkEnd w:id="775"/>
      <w:bookmarkEnd w:id="776"/>
    </w:p>
    <w:p w:rsidR="001B3D5D" w:rsidRDefault="004D5502">
      <w:pPr>
        <w:ind w:left="680"/>
      </w:pPr>
      <w:r>
        <w:t>An o</w:t>
      </w:r>
      <w:r>
        <w:t>bligation imposed on a party by this lease continues throughout the Term and after the end of this lease if the obligation has not already been performed.</w:t>
      </w:r>
    </w:p>
    <w:p w:rsidR="001B3D5D" w:rsidRDefault="004D5502">
      <w:pPr>
        <w:pStyle w:val="MELegal2"/>
      </w:pPr>
      <w:bookmarkStart w:id="777" w:name="_Ref107838854"/>
      <w:bookmarkStart w:id="778" w:name="_Toc145757279"/>
      <w:bookmarkStart w:id="779" w:name="_Toc157500080"/>
      <w:bookmarkStart w:id="780" w:name="_Toc158003693"/>
      <w:bookmarkStart w:id="781" w:name="_Toc334110540"/>
      <w:bookmarkStart w:id="782" w:name="_Toc345578339"/>
      <w:bookmarkStart w:id="783" w:name="_Toc411870741"/>
      <w:r>
        <w:t>Caveats</w:t>
      </w:r>
      <w:bookmarkEnd w:id="777"/>
      <w:bookmarkEnd w:id="778"/>
      <w:bookmarkEnd w:id="779"/>
      <w:bookmarkEnd w:id="780"/>
      <w:bookmarkEnd w:id="781"/>
      <w:bookmarkEnd w:id="782"/>
      <w:bookmarkEnd w:id="783"/>
    </w:p>
    <w:p w:rsidR="001B3D5D" w:rsidRDefault="004D5502">
      <w:pPr>
        <w:ind w:left="680"/>
      </w:pPr>
      <w:r>
        <w:t>The Tenant must not:</w:t>
      </w:r>
    </w:p>
    <w:p w:rsidR="001B3D5D" w:rsidRDefault="004D5502">
      <w:pPr>
        <w:pStyle w:val="MELegal3"/>
      </w:pPr>
      <w:r>
        <w:t>lodge a caveat on the title to the Warehouse Land; or</w:t>
      </w:r>
    </w:p>
    <w:p w:rsidR="001B3D5D" w:rsidRDefault="004D5502">
      <w:pPr>
        <w:pStyle w:val="MELegal3"/>
      </w:pPr>
      <w:r>
        <w:t>allow a caveat lod</w:t>
      </w:r>
      <w:r>
        <w:t>ged by a person claiming through the Tenant to remain on the title to the Warehouse Land.</w:t>
      </w:r>
      <w:r>
        <w:tab/>
      </w:r>
    </w:p>
    <w:p w:rsidR="001B3D5D" w:rsidRDefault="004D5502">
      <w:pPr>
        <w:pStyle w:val="MELegal1"/>
      </w:pPr>
      <w:bookmarkStart w:id="784" w:name="_Ref409426527"/>
      <w:bookmarkStart w:id="785" w:name="_Ref489068836"/>
      <w:bookmarkStart w:id="786" w:name="_Toc325555790"/>
      <w:bookmarkStart w:id="787" w:name="_Toc345578340"/>
      <w:bookmarkStart w:id="788" w:name="_Toc411870742"/>
      <w:bookmarkStart w:id="789" w:name="_Ref342299284"/>
      <w:bookmarkStart w:id="790" w:name="_Ref342299286"/>
      <w:r>
        <w:t>If the Head-Lease ends</w:t>
      </w:r>
      <w:bookmarkEnd w:id="784"/>
      <w:bookmarkEnd w:id="785"/>
      <w:bookmarkEnd w:id="786"/>
      <w:bookmarkEnd w:id="787"/>
      <w:bookmarkEnd w:id="788"/>
      <w:r>
        <w:t xml:space="preserve"> </w:t>
      </w:r>
    </w:p>
    <w:p w:rsidR="001B3D5D" w:rsidRDefault="004D5502">
      <w:pPr>
        <w:pStyle w:val="MELegal3"/>
      </w:pPr>
      <w:bookmarkStart w:id="791" w:name="_Ref409426531"/>
      <w:r>
        <w:t>This lease will end automatically if the Head-Lease ends for any reason.  It will end at the same time as the Head-Lease ends.</w:t>
      </w:r>
      <w:bookmarkEnd w:id="791"/>
    </w:p>
    <w:p w:rsidR="001B3D5D" w:rsidRDefault="004D5502">
      <w:pPr>
        <w:pStyle w:val="MELegal3"/>
      </w:pPr>
      <w:r>
        <w:t xml:space="preserve">The ending of </w:t>
      </w:r>
      <w:r>
        <w:t xml:space="preserve">this lease under clause </w:t>
      </w:r>
      <w:r>
        <w:fldChar w:fldCharType="begin"/>
      </w:r>
      <w:r>
        <w:instrText xml:space="preserve"> REF _Ref409426527 \r \h </w:instrText>
      </w:r>
      <w:r>
        <w:fldChar w:fldCharType="separate"/>
      </w:r>
      <w:r>
        <w:t>23</w:t>
      </w:r>
      <w:r>
        <w:fldChar w:fldCharType="end"/>
      </w:r>
      <w:r>
        <w:fldChar w:fldCharType="begin"/>
      </w:r>
      <w:r>
        <w:instrText xml:space="preserve"> REF _Ref409426531 \r \h </w:instrText>
      </w:r>
      <w:r>
        <w:fldChar w:fldCharType="separate"/>
      </w:r>
      <w:r>
        <w:t>(a)</w:t>
      </w:r>
      <w:r>
        <w:fldChar w:fldCharType="end"/>
      </w:r>
      <w:r>
        <w:t xml:space="preserve"> does not affect the Landlord's or the Tenant's rights relating to any breach of this lease that happens before this lease ends.</w:t>
      </w:r>
    </w:p>
    <w:p w:rsidR="001B3D5D" w:rsidRDefault="004D5502">
      <w:pPr>
        <w:pStyle w:val="MELegal3"/>
      </w:pPr>
      <w:r>
        <w:t>The parties acknowledge and agree that in the event the Head-Le</w:t>
      </w:r>
      <w:r>
        <w:t>ase ends, the Deed Poll deems the Head-Landlord to have granted a direct lease to the Tenant on the terms and conditions of this lease (with only those changes required to reflect the change in the landlord) on and from the date that the Head-Lease termina</w:t>
      </w:r>
      <w:r>
        <w:t>tes.</w:t>
      </w:r>
    </w:p>
    <w:p w:rsidR="001B3D5D" w:rsidRDefault="004D5502">
      <w:pPr>
        <w:pStyle w:val="MELegal3"/>
      </w:pPr>
      <w:r>
        <w:t xml:space="preserve">If there is inconsistency between this clause </w:t>
      </w:r>
      <w:r>
        <w:fldChar w:fldCharType="begin"/>
      </w:r>
      <w:r>
        <w:instrText xml:space="preserve"> REF _Ref409426527 \r \h </w:instrText>
      </w:r>
      <w:r>
        <w:fldChar w:fldCharType="separate"/>
      </w:r>
      <w:r>
        <w:t>23</w:t>
      </w:r>
      <w:r>
        <w:fldChar w:fldCharType="end"/>
      </w:r>
      <w:r>
        <w:t xml:space="preserve"> and any other provision in this lease, this clause </w:t>
      </w:r>
      <w:r>
        <w:fldChar w:fldCharType="begin"/>
      </w:r>
      <w:r>
        <w:instrText xml:space="preserve"> REF _Ref409426527 \r \h </w:instrText>
      </w:r>
      <w:r>
        <w:fldChar w:fldCharType="separate"/>
      </w:r>
      <w:r>
        <w:t>23</w:t>
      </w:r>
      <w:r>
        <w:fldChar w:fldCharType="end"/>
      </w:r>
      <w:r>
        <w:t xml:space="preserve"> prevails. </w:t>
      </w:r>
    </w:p>
    <w:p w:rsidR="001B3D5D" w:rsidRDefault="004D5502">
      <w:pPr>
        <w:pStyle w:val="MEChapterheading"/>
      </w:pPr>
      <w:bookmarkStart w:id="792" w:name="_Toc334110542"/>
      <w:bookmarkStart w:id="793" w:name="_Toc345578347"/>
      <w:bookmarkEnd w:id="789"/>
      <w:bookmarkEnd w:id="790"/>
      <w:r>
        <w:br w:type="page"/>
      </w:r>
      <w:bookmarkStart w:id="794" w:name="_Toc411870743"/>
      <w:r>
        <w:lastRenderedPageBreak/>
        <w:t>Signing page</w:t>
      </w:r>
      <w:bookmarkEnd w:id="792"/>
      <w:bookmarkEnd w:id="793"/>
      <w:bookmarkEnd w:id="794"/>
    </w:p>
    <w:p w:rsidR="001B3D5D" w:rsidRDefault="004D5502">
      <w:r>
        <w:rPr>
          <w:b/>
        </w:rPr>
        <w:t>EXECUTED</w:t>
      </w:r>
      <w:r>
        <w:t xml:space="preserve"> as </w:t>
      </w:r>
      <w:bookmarkStart w:id="795" w:name="bkAgreementDeed"/>
      <w:r>
        <w:t>a deed</w:t>
      </w:r>
      <w:bookmarkEnd w:id="795"/>
    </w:p>
    <w:p w:rsidR="001B3D5D" w:rsidRDefault="001B3D5D">
      <w:pPr>
        <w:rPr>
          <w:b/>
          <w:highlight w:val="yellow"/>
        </w:rPr>
      </w:pPr>
    </w:p>
    <w:tbl>
      <w:tblPr>
        <w:tblW w:w="0" w:type="auto"/>
        <w:tblLayout w:type="fixed"/>
        <w:tblCellMar>
          <w:left w:w="0" w:type="dxa"/>
          <w:right w:w="0" w:type="dxa"/>
        </w:tblCellMar>
        <w:tblLook w:val="0000" w:firstRow="0" w:lastRow="0" w:firstColumn="0" w:lastColumn="0" w:noHBand="0" w:noVBand="0"/>
      </w:tblPr>
      <w:tblGrid>
        <w:gridCol w:w="3969"/>
        <w:gridCol w:w="709"/>
        <w:gridCol w:w="3969"/>
        <w:gridCol w:w="709"/>
      </w:tblGrid>
      <w:tr w:rsidR="001B3D5D">
        <w:tc>
          <w:tcPr>
            <w:tcW w:w="3969" w:type="dxa"/>
          </w:tcPr>
          <w:p w:rsidR="001B3D5D" w:rsidRDefault="004D5502">
            <w:pPr>
              <w:keepNext/>
              <w:spacing w:after="0" w:line="240" w:lineRule="auto"/>
              <w:rPr>
                <w:rFonts w:ascii="Arial" w:hAnsi="Arial"/>
                <w:sz w:val="20"/>
              </w:rPr>
            </w:pPr>
            <w:r>
              <w:rPr>
                <w:rFonts w:ascii="Arial" w:hAnsi="Arial"/>
                <w:b/>
                <w:sz w:val="20"/>
              </w:rPr>
              <w:t>The Common Seal</w:t>
            </w:r>
            <w:r>
              <w:rPr>
                <w:rFonts w:ascii="Arial" w:hAnsi="Arial"/>
                <w:sz w:val="20"/>
              </w:rPr>
              <w:t xml:space="preserve"> of </w:t>
            </w:r>
            <w:r>
              <w:rPr>
                <w:rFonts w:ascii="Arial" w:hAnsi="Arial"/>
                <w:b/>
                <w:sz w:val="20"/>
              </w:rPr>
              <w:t xml:space="preserve">Melbourne Market Authority </w:t>
            </w:r>
            <w:r>
              <w:rPr>
                <w:rFonts w:ascii="Arial" w:hAnsi="Arial"/>
                <w:sz w:val="20"/>
              </w:rPr>
              <w:t>was affixed by authority of the Board in the presence of:</w:t>
            </w:r>
          </w:p>
        </w:tc>
        <w:tc>
          <w:tcPr>
            <w:tcW w:w="709" w:type="dxa"/>
          </w:tcPr>
          <w:p w:rsidR="001B3D5D" w:rsidRDefault="001B3D5D">
            <w:pPr>
              <w:keepNext/>
              <w:spacing w:after="0" w:line="240" w:lineRule="auto"/>
              <w:jc w:val="center"/>
              <w:rPr>
                <w:rFonts w:ascii="Arial" w:hAnsi="Arial"/>
                <w:sz w:val="20"/>
              </w:rPr>
            </w:pPr>
          </w:p>
        </w:tc>
        <w:tc>
          <w:tcPr>
            <w:tcW w:w="3969" w:type="dxa"/>
          </w:tcPr>
          <w:p w:rsidR="001B3D5D" w:rsidRDefault="001B3D5D">
            <w:pPr>
              <w:keepNext/>
              <w:spacing w:after="0" w:line="240" w:lineRule="auto"/>
              <w:rPr>
                <w:rFonts w:ascii="Arial" w:hAnsi="Arial"/>
                <w:sz w:val="20"/>
              </w:rPr>
            </w:pPr>
          </w:p>
        </w:tc>
        <w:tc>
          <w:tcPr>
            <w:tcW w:w="709" w:type="dxa"/>
          </w:tcPr>
          <w:p w:rsidR="001B3D5D" w:rsidRDefault="001B3D5D">
            <w:pPr>
              <w:keepNext/>
              <w:spacing w:after="0" w:line="240" w:lineRule="auto"/>
              <w:rPr>
                <w:rFonts w:ascii="Arial" w:hAnsi="Arial"/>
                <w:sz w:val="20"/>
              </w:rPr>
            </w:pPr>
          </w:p>
        </w:tc>
      </w:tr>
      <w:tr w:rsidR="001B3D5D">
        <w:trPr>
          <w:trHeight w:val="600"/>
        </w:trPr>
        <w:tc>
          <w:tcPr>
            <w:tcW w:w="3969" w:type="dxa"/>
            <w:tcBorders>
              <w:bottom w:val="single" w:sz="4" w:space="0" w:color="auto"/>
            </w:tcBorders>
          </w:tcPr>
          <w:p w:rsidR="001B3D5D" w:rsidRDefault="001B3D5D">
            <w:pPr>
              <w:keepNext/>
              <w:spacing w:after="0" w:line="240" w:lineRule="auto"/>
              <w:rPr>
                <w:rFonts w:ascii="Arial" w:hAnsi="Arial"/>
                <w:sz w:val="20"/>
              </w:rPr>
            </w:pPr>
          </w:p>
        </w:tc>
        <w:tc>
          <w:tcPr>
            <w:tcW w:w="709" w:type="dxa"/>
            <w:vAlign w:val="bottom"/>
          </w:tcPr>
          <w:p w:rsidR="001B3D5D" w:rsidRDefault="004D5502">
            <w:pPr>
              <w:keepNext/>
              <w:spacing w:after="0" w:line="240" w:lineRule="auto"/>
              <w:jc w:val="center"/>
              <w:rPr>
                <w:rFonts w:ascii="Arial" w:hAnsi="Arial"/>
                <w:sz w:val="32"/>
              </w:rPr>
            </w:pPr>
            <w:r>
              <w:rPr>
                <w:rFonts w:ascii="Arial" w:hAnsi="Arial"/>
                <w:sz w:val="32"/>
              </w:rPr>
              <w:sym w:font="Symbol" w:char="F0AC"/>
            </w:r>
          </w:p>
        </w:tc>
        <w:tc>
          <w:tcPr>
            <w:tcW w:w="3969" w:type="dxa"/>
            <w:tcBorders>
              <w:bottom w:val="single" w:sz="4" w:space="0" w:color="auto"/>
            </w:tcBorders>
          </w:tcPr>
          <w:p w:rsidR="001B3D5D" w:rsidRDefault="001B3D5D">
            <w:pPr>
              <w:keepNext/>
              <w:spacing w:after="0" w:line="240" w:lineRule="auto"/>
              <w:rPr>
                <w:rFonts w:ascii="Arial" w:hAnsi="Arial"/>
                <w:sz w:val="20"/>
              </w:rPr>
            </w:pPr>
          </w:p>
          <w:p w:rsidR="001B3D5D" w:rsidRDefault="001B3D5D">
            <w:pPr>
              <w:keepNext/>
              <w:spacing w:after="0" w:line="240" w:lineRule="auto"/>
              <w:rPr>
                <w:rFonts w:ascii="Arial" w:hAnsi="Arial"/>
                <w:sz w:val="20"/>
              </w:rPr>
            </w:pPr>
          </w:p>
          <w:p w:rsidR="001B3D5D" w:rsidRDefault="001B3D5D">
            <w:pPr>
              <w:keepNext/>
              <w:spacing w:after="0" w:line="240" w:lineRule="auto"/>
              <w:rPr>
                <w:rFonts w:ascii="Arial" w:hAnsi="Arial"/>
                <w:sz w:val="20"/>
              </w:rPr>
            </w:pPr>
          </w:p>
        </w:tc>
        <w:tc>
          <w:tcPr>
            <w:tcW w:w="709" w:type="dxa"/>
            <w:vAlign w:val="bottom"/>
          </w:tcPr>
          <w:p w:rsidR="001B3D5D" w:rsidRDefault="004D5502">
            <w:pPr>
              <w:keepNext/>
              <w:spacing w:after="0" w:line="240" w:lineRule="auto"/>
              <w:jc w:val="center"/>
              <w:rPr>
                <w:rFonts w:ascii="Arial" w:hAnsi="Arial"/>
                <w:sz w:val="32"/>
              </w:rPr>
            </w:pPr>
            <w:r>
              <w:rPr>
                <w:rFonts w:ascii="Arial" w:hAnsi="Arial"/>
                <w:sz w:val="32"/>
              </w:rPr>
              <w:sym w:font="Symbol" w:char="F0AC"/>
            </w:r>
          </w:p>
        </w:tc>
      </w:tr>
      <w:tr w:rsidR="001B3D5D">
        <w:tc>
          <w:tcPr>
            <w:tcW w:w="3969" w:type="dxa"/>
            <w:tcBorders>
              <w:top w:val="single" w:sz="4" w:space="0" w:color="auto"/>
              <w:bottom w:val="single" w:sz="4" w:space="0" w:color="auto"/>
            </w:tcBorders>
          </w:tcPr>
          <w:p w:rsidR="001B3D5D" w:rsidRDefault="004D5502">
            <w:pPr>
              <w:keepNext/>
              <w:spacing w:after="0" w:line="240" w:lineRule="auto"/>
              <w:rPr>
                <w:rFonts w:ascii="Arial" w:hAnsi="Arial"/>
                <w:sz w:val="16"/>
              </w:rPr>
            </w:pPr>
            <w:r>
              <w:rPr>
                <w:rFonts w:ascii="Arial" w:hAnsi="Arial"/>
                <w:sz w:val="16"/>
              </w:rPr>
              <w:t>Chief Executive/Secretary</w:t>
            </w:r>
          </w:p>
          <w:p w:rsidR="001B3D5D" w:rsidRDefault="001B3D5D">
            <w:pPr>
              <w:keepNext/>
              <w:spacing w:after="0" w:line="240" w:lineRule="auto"/>
              <w:rPr>
                <w:rFonts w:ascii="Arial" w:hAnsi="Arial"/>
                <w:sz w:val="16"/>
              </w:rPr>
            </w:pPr>
          </w:p>
          <w:p w:rsidR="001B3D5D" w:rsidRDefault="001B3D5D">
            <w:pPr>
              <w:keepNext/>
              <w:spacing w:after="0" w:line="240" w:lineRule="auto"/>
              <w:rPr>
                <w:rFonts w:ascii="Arial" w:hAnsi="Arial"/>
                <w:sz w:val="16"/>
              </w:rPr>
            </w:pPr>
          </w:p>
          <w:p w:rsidR="001B3D5D" w:rsidRDefault="001B3D5D">
            <w:pPr>
              <w:keepNext/>
              <w:spacing w:after="0" w:line="240" w:lineRule="auto"/>
              <w:rPr>
                <w:rFonts w:ascii="Arial" w:hAnsi="Arial"/>
                <w:sz w:val="16"/>
              </w:rPr>
            </w:pPr>
          </w:p>
        </w:tc>
        <w:tc>
          <w:tcPr>
            <w:tcW w:w="709" w:type="dxa"/>
          </w:tcPr>
          <w:p w:rsidR="001B3D5D" w:rsidRDefault="001B3D5D">
            <w:pPr>
              <w:keepNext/>
              <w:spacing w:after="0" w:line="240" w:lineRule="auto"/>
              <w:jc w:val="center"/>
              <w:rPr>
                <w:rFonts w:ascii="Arial" w:hAnsi="Arial"/>
                <w:sz w:val="16"/>
              </w:rPr>
            </w:pPr>
          </w:p>
        </w:tc>
        <w:tc>
          <w:tcPr>
            <w:tcW w:w="3969" w:type="dxa"/>
            <w:tcBorders>
              <w:top w:val="single" w:sz="4" w:space="0" w:color="auto"/>
              <w:bottom w:val="single" w:sz="4" w:space="0" w:color="auto"/>
            </w:tcBorders>
          </w:tcPr>
          <w:p w:rsidR="001B3D5D" w:rsidRDefault="004D5502">
            <w:pPr>
              <w:keepNext/>
              <w:spacing w:after="0" w:line="240" w:lineRule="auto"/>
              <w:rPr>
                <w:rFonts w:ascii="Arial" w:hAnsi="Arial"/>
                <w:sz w:val="16"/>
              </w:rPr>
            </w:pPr>
            <w:r>
              <w:rPr>
                <w:rFonts w:ascii="Arial" w:hAnsi="Arial"/>
                <w:sz w:val="16"/>
              </w:rPr>
              <w:t>Member</w:t>
            </w:r>
          </w:p>
          <w:p w:rsidR="001B3D5D" w:rsidRDefault="001B3D5D">
            <w:pPr>
              <w:keepNext/>
              <w:spacing w:after="0" w:line="240" w:lineRule="auto"/>
              <w:rPr>
                <w:rFonts w:ascii="Arial" w:hAnsi="Arial"/>
                <w:sz w:val="16"/>
              </w:rPr>
            </w:pPr>
          </w:p>
          <w:p w:rsidR="001B3D5D" w:rsidRDefault="001B3D5D">
            <w:pPr>
              <w:keepNext/>
              <w:spacing w:after="0" w:line="240" w:lineRule="auto"/>
              <w:rPr>
                <w:rFonts w:ascii="Arial" w:hAnsi="Arial"/>
                <w:sz w:val="16"/>
              </w:rPr>
            </w:pPr>
          </w:p>
        </w:tc>
        <w:tc>
          <w:tcPr>
            <w:tcW w:w="709" w:type="dxa"/>
          </w:tcPr>
          <w:p w:rsidR="001B3D5D" w:rsidRDefault="001B3D5D">
            <w:pPr>
              <w:keepNext/>
              <w:spacing w:after="0" w:line="240" w:lineRule="auto"/>
              <w:rPr>
                <w:rFonts w:ascii="Arial" w:hAnsi="Arial"/>
                <w:sz w:val="16"/>
              </w:rPr>
            </w:pPr>
          </w:p>
        </w:tc>
      </w:tr>
      <w:tr w:rsidR="001B3D5D">
        <w:tc>
          <w:tcPr>
            <w:tcW w:w="3969" w:type="dxa"/>
            <w:tcBorders>
              <w:top w:val="single" w:sz="4" w:space="0" w:color="auto"/>
            </w:tcBorders>
          </w:tcPr>
          <w:p w:rsidR="001B3D5D" w:rsidRDefault="004D5502">
            <w:pPr>
              <w:keepNext/>
              <w:spacing w:after="0" w:line="240" w:lineRule="auto"/>
              <w:rPr>
                <w:rFonts w:ascii="Arial" w:hAnsi="Arial"/>
                <w:sz w:val="16"/>
              </w:rPr>
            </w:pPr>
            <w:r>
              <w:rPr>
                <w:rFonts w:ascii="Arial" w:hAnsi="Arial"/>
                <w:sz w:val="16"/>
              </w:rPr>
              <w:t xml:space="preserve">Name (please </w:t>
            </w:r>
            <w:r>
              <w:rPr>
                <w:rFonts w:ascii="Arial" w:hAnsi="Arial"/>
                <w:sz w:val="16"/>
              </w:rPr>
              <w:t>print)</w:t>
            </w:r>
          </w:p>
        </w:tc>
        <w:tc>
          <w:tcPr>
            <w:tcW w:w="709" w:type="dxa"/>
          </w:tcPr>
          <w:p w:rsidR="001B3D5D" w:rsidRDefault="001B3D5D">
            <w:pPr>
              <w:keepNext/>
              <w:spacing w:after="0" w:line="240" w:lineRule="auto"/>
              <w:rPr>
                <w:rFonts w:ascii="Arial" w:hAnsi="Arial"/>
                <w:sz w:val="16"/>
              </w:rPr>
            </w:pPr>
          </w:p>
        </w:tc>
        <w:tc>
          <w:tcPr>
            <w:tcW w:w="3969" w:type="dxa"/>
            <w:tcBorders>
              <w:top w:val="single" w:sz="4" w:space="0" w:color="auto"/>
            </w:tcBorders>
          </w:tcPr>
          <w:p w:rsidR="001B3D5D" w:rsidRDefault="004D5502">
            <w:pPr>
              <w:keepNext/>
              <w:spacing w:after="0" w:line="240" w:lineRule="auto"/>
              <w:rPr>
                <w:rFonts w:ascii="Arial" w:hAnsi="Arial"/>
                <w:sz w:val="16"/>
              </w:rPr>
            </w:pPr>
            <w:r>
              <w:rPr>
                <w:rFonts w:ascii="Arial" w:hAnsi="Arial"/>
                <w:sz w:val="16"/>
              </w:rPr>
              <w:t>Name (please print)</w:t>
            </w:r>
          </w:p>
        </w:tc>
        <w:tc>
          <w:tcPr>
            <w:tcW w:w="709" w:type="dxa"/>
          </w:tcPr>
          <w:p w:rsidR="001B3D5D" w:rsidRDefault="001B3D5D">
            <w:pPr>
              <w:keepNext/>
              <w:spacing w:after="0" w:line="240" w:lineRule="auto"/>
              <w:rPr>
                <w:rFonts w:ascii="Arial" w:hAnsi="Arial"/>
                <w:sz w:val="16"/>
              </w:rPr>
            </w:pPr>
          </w:p>
        </w:tc>
      </w:tr>
    </w:tbl>
    <w:p w:rsidR="001B3D5D" w:rsidRDefault="001B3D5D"/>
    <w:p w:rsidR="001B3D5D" w:rsidRDefault="004D5502">
      <w:pPr>
        <w:spacing w:after="240"/>
        <w:rPr>
          <w:b/>
          <w:bCs/>
        </w:rPr>
      </w:pPr>
      <w:r>
        <w:rPr>
          <w:b/>
          <w:bCs/>
        </w:rPr>
        <w:t>[If the Tenant is an individual]</w:t>
      </w:r>
    </w:p>
    <w:tbl>
      <w:tblPr>
        <w:tblW w:w="9356" w:type="dxa"/>
        <w:tblLayout w:type="fixed"/>
        <w:tblCellMar>
          <w:left w:w="0" w:type="dxa"/>
          <w:right w:w="0" w:type="dxa"/>
        </w:tblCellMar>
        <w:tblLook w:val="0000" w:firstRow="0" w:lastRow="0" w:firstColumn="0" w:lastColumn="0" w:noHBand="0" w:noVBand="0"/>
      </w:tblPr>
      <w:tblGrid>
        <w:gridCol w:w="3969"/>
        <w:gridCol w:w="709"/>
        <w:gridCol w:w="3969"/>
        <w:gridCol w:w="709"/>
      </w:tblGrid>
      <w:tr w:rsidR="001B3D5D">
        <w:tc>
          <w:tcPr>
            <w:tcW w:w="3969" w:type="dxa"/>
          </w:tcPr>
          <w:p w:rsidR="001B3D5D" w:rsidRDefault="004D5502">
            <w:pPr>
              <w:keepNext/>
              <w:spacing w:after="0" w:line="240" w:lineRule="auto"/>
              <w:rPr>
                <w:rFonts w:ascii="Arial" w:hAnsi="Arial"/>
                <w:sz w:val="20"/>
              </w:rPr>
            </w:pPr>
            <w:bookmarkStart w:id="796" w:name="SSD"/>
            <w:bookmarkEnd w:id="796"/>
            <w:r>
              <w:rPr>
                <w:rFonts w:ascii="Arial" w:hAnsi="Arial"/>
                <w:b/>
                <w:sz w:val="20"/>
              </w:rPr>
              <w:t>Signed sealed</w:t>
            </w:r>
            <w:r>
              <w:rPr>
                <w:rFonts w:ascii="Arial" w:hAnsi="Arial"/>
                <w:sz w:val="20"/>
              </w:rPr>
              <w:t xml:space="preserve"> and </w:t>
            </w:r>
            <w:r>
              <w:rPr>
                <w:rFonts w:ascii="Arial" w:hAnsi="Arial"/>
                <w:b/>
                <w:sz w:val="20"/>
              </w:rPr>
              <w:t>delivered</w:t>
            </w:r>
            <w:r>
              <w:rPr>
                <w:rFonts w:ascii="Arial" w:hAnsi="Arial"/>
                <w:sz w:val="20"/>
              </w:rPr>
              <w:t xml:space="preserve"> by #tenant name individual# in the presence of</w:t>
            </w:r>
          </w:p>
        </w:tc>
        <w:tc>
          <w:tcPr>
            <w:tcW w:w="709" w:type="dxa"/>
          </w:tcPr>
          <w:p w:rsidR="001B3D5D" w:rsidRDefault="001B3D5D">
            <w:pPr>
              <w:keepNext/>
              <w:spacing w:after="0" w:line="240" w:lineRule="auto"/>
              <w:rPr>
                <w:rFonts w:ascii="Arial" w:hAnsi="Arial"/>
                <w:sz w:val="20"/>
              </w:rPr>
            </w:pPr>
          </w:p>
        </w:tc>
        <w:tc>
          <w:tcPr>
            <w:tcW w:w="3969" w:type="dxa"/>
          </w:tcPr>
          <w:p w:rsidR="001B3D5D" w:rsidRDefault="001B3D5D">
            <w:pPr>
              <w:keepNext/>
              <w:spacing w:after="0" w:line="240" w:lineRule="auto"/>
              <w:rPr>
                <w:rFonts w:ascii="Arial" w:hAnsi="Arial"/>
                <w:sz w:val="20"/>
              </w:rPr>
            </w:pPr>
          </w:p>
        </w:tc>
        <w:tc>
          <w:tcPr>
            <w:tcW w:w="709" w:type="dxa"/>
          </w:tcPr>
          <w:p w:rsidR="001B3D5D" w:rsidRDefault="001B3D5D">
            <w:pPr>
              <w:keepNext/>
              <w:spacing w:after="0" w:line="240" w:lineRule="auto"/>
              <w:rPr>
                <w:rFonts w:ascii="Arial" w:hAnsi="Arial"/>
                <w:sz w:val="20"/>
              </w:rPr>
            </w:pPr>
          </w:p>
        </w:tc>
      </w:tr>
      <w:tr w:rsidR="001B3D5D">
        <w:trPr>
          <w:trHeight w:hRule="exact" w:val="480"/>
        </w:trPr>
        <w:tc>
          <w:tcPr>
            <w:tcW w:w="3969" w:type="dxa"/>
            <w:tcBorders>
              <w:bottom w:val="single" w:sz="4" w:space="0" w:color="auto"/>
            </w:tcBorders>
          </w:tcPr>
          <w:p w:rsidR="001B3D5D" w:rsidRDefault="001B3D5D">
            <w:pPr>
              <w:keepNext/>
              <w:spacing w:after="0" w:line="240" w:lineRule="auto"/>
              <w:rPr>
                <w:rFonts w:ascii="Arial" w:hAnsi="Arial"/>
                <w:sz w:val="20"/>
              </w:rPr>
            </w:pPr>
          </w:p>
        </w:tc>
        <w:tc>
          <w:tcPr>
            <w:tcW w:w="709" w:type="dxa"/>
            <w:vAlign w:val="bottom"/>
          </w:tcPr>
          <w:p w:rsidR="001B3D5D" w:rsidRDefault="004D5502">
            <w:pPr>
              <w:keepNext/>
              <w:spacing w:after="0" w:line="240" w:lineRule="auto"/>
              <w:jc w:val="center"/>
              <w:rPr>
                <w:rFonts w:ascii="Arial" w:hAnsi="Arial"/>
                <w:sz w:val="32"/>
              </w:rPr>
            </w:pPr>
            <w:r>
              <w:rPr>
                <w:rFonts w:ascii="Arial" w:hAnsi="Arial"/>
                <w:sz w:val="32"/>
              </w:rPr>
              <w:sym w:font="Symbol" w:char="F0AC"/>
            </w:r>
          </w:p>
        </w:tc>
        <w:tc>
          <w:tcPr>
            <w:tcW w:w="3969" w:type="dxa"/>
            <w:tcBorders>
              <w:bottom w:val="single" w:sz="4" w:space="0" w:color="auto"/>
            </w:tcBorders>
          </w:tcPr>
          <w:p w:rsidR="001B3D5D" w:rsidRDefault="001B3D5D">
            <w:pPr>
              <w:keepNext/>
              <w:spacing w:after="0" w:line="240" w:lineRule="auto"/>
              <w:rPr>
                <w:rFonts w:ascii="Arial" w:hAnsi="Arial"/>
                <w:sz w:val="20"/>
              </w:rPr>
            </w:pPr>
          </w:p>
        </w:tc>
        <w:tc>
          <w:tcPr>
            <w:tcW w:w="709" w:type="dxa"/>
            <w:vAlign w:val="bottom"/>
          </w:tcPr>
          <w:p w:rsidR="001B3D5D" w:rsidRDefault="004D5502">
            <w:pPr>
              <w:keepNext/>
              <w:spacing w:after="0" w:line="240" w:lineRule="auto"/>
              <w:jc w:val="center"/>
              <w:rPr>
                <w:rFonts w:ascii="Arial" w:hAnsi="Arial"/>
                <w:sz w:val="32"/>
              </w:rPr>
            </w:pPr>
            <w:r>
              <w:rPr>
                <w:rFonts w:ascii="Arial" w:hAnsi="Arial"/>
                <w:sz w:val="32"/>
              </w:rPr>
              <w:sym w:font="Symbol" w:char="F0AC"/>
            </w:r>
          </w:p>
        </w:tc>
      </w:tr>
      <w:tr w:rsidR="001B3D5D">
        <w:trPr>
          <w:trHeight w:hRule="exact" w:val="480"/>
        </w:trPr>
        <w:tc>
          <w:tcPr>
            <w:tcW w:w="3969" w:type="dxa"/>
            <w:tcBorders>
              <w:top w:val="single" w:sz="4" w:space="0" w:color="auto"/>
            </w:tcBorders>
          </w:tcPr>
          <w:p w:rsidR="001B3D5D" w:rsidRDefault="004D5502">
            <w:pPr>
              <w:keepNext/>
              <w:spacing w:after="0" w:line="240" w:lineRule="auto"/>
              <w:rPr>
                <w:rFonts w:ascii="Arial" w:hAnsi="Arial"/>
                <w:sz w:val="16"/>
              </w:rPr>
            </w:pPr>
            <w:r>
              <w:rPr>
                <w:rFonts w:ascii="Arial" w:hAnsi="Arial"/>
                <w:sz w:val="16"/>
              </w:rPr>
              <w:t>Signature of witness</w:t>
            </w:r>
          </w:p>
        </w:tc>
        <w:tc>
          <w:tcPr>
            <w:tcW w:w="709" w:type="dxa"/>
          </w:tcPr>
          <w:p w:rsidR="001B3D5D" w:rsidRDefault="001B3D5D">
            <w:pPr>
              <w:keepNext/>
              <w:spacing w:after="0" w:line="240" w:lineRule="auto"/>
              <w:rPr>
                <w:rFonts w:ascii="Arial" w:hAnsi="Arial"/>
                <w:sz w:val="16"/>
              </w:rPr>
            </w:pPr>
          </w:p>
        </w:tc>
        <w:tc>
          <w:tcPr>
            <w:tcW w:w="3969" w:type="dxa"/>
            <w:tcBorders>
              <w:top w:val="single" w:sz="4" w:space="0" w:color="auto"/>
            </w:tcBorders>
          </w:tcPr>
          <w:p w:rsidR="001B3D5D" w:rsidRDefault="004D5502">
            <w:pPr>
              <w:keepNext/>
              <w:spacing w:after="0" w:line="240" w:lineRule="auto"/>
              <w:rPr>
                <w:rFonts w:ascii="Arial" w:hAnsi="Arial"/>
                <w:sz w:val="16"/>
              </w:rPr>
            </w:pPr>
            <w:r>
              <w:rPr>
                <w:rFonts w:ascii="Arial" w:hAnsi="Arial"/>
                <w:sz w:val="16"/>
              </w:rPr>
              <w:t>Signature of #Tenant name individual#</w:t>
            </w:r>
          </w:p>
        </w:tc>
        <w:tc>
          <w:tcPr>
            <w:tcW w:w="709" w:type="dxa"/>
          </w:tcPr>
          <w:p w:rsidR="001B3D5D" w:rsidRDefault="001B3D5D">
            <w:pPr>
              <w:keepNext/>
              <w:spacing w:after="0" w:line="240" w:lineRule="auto"/>
              <w:rPr>
                <w:rFonts w:ascii="Arial" w:hAnsi="Arial"/>
                <w:sz w:val="16"/>
              </w:rPr>
            </w:pPr>
          </w:p>
        </w:tc>
      </w:tr>
      <w:tr w:rsidR="001B3D5D">
        <w:trPr>
          <w:trHeight w:hRule="exact" w:val="480"/>
        </w:trPr>
        <w:tc>
          <w:tcPr>
            <w:tcW w:w="3969" w:type="dxa"/>
            <w:tcBorders>
              <w:bottom w:val="single" w:sz="4" w:space="0" w:color="auto"/>
            </w:tcBorders>
          </w:tcPr>
          <w:p w:rsidR="001B3D5D" w:rsidRDefault="001B3D5D">
            <w:pPr>
              <w:keepNext/>
              <w:spacing w:after="0" w:line="240" w:lineRule="auto"/>
              <w:rPr>
                <w:rFonts w:ascii="Arial" w:hAnsi="Arial"/>
                <w:sz w:val="16"/>
              </w:rPr>
            </w:pPr>
          </w:p>
        </w:tc>
        <w:tc>
          <w:tcPr>
            <w:tcW w:w="709" w:type="dxa"/>
          </w:tcPr>
          <w:p w:rsidR="001B3D5D" w:rsidRDefault="001B3D5D">
            <w:pPr>
              <w:keepNext/>
              <w:spacing w:after="0" w:line="240" w:lineRule="auto"/>
              <w:rPr>
                <w:rFonts w:ascii="Arial" w:hAnsi="Arial"/>
                <w:sz w:val="16"/>
              </w:rPr>
            </w:pPr>
          </w:p>
        </w:tc>
        <w:tc>
          <w:tcPr>
            <w:tcW w:w="3969" w:type="dxa"/>
          </w:tcPr>
          <w:p w:rsidR="001B3D5D" w:rsidRDefault="001B3D5D">
            <w:pPr>
              <w:keepNext/>
              <w:spacing w:after="0" w:line="240" w:lineRule="auto"/>
              <w:rPr>
                <w:rFonts w:ascii="Arial" w:hAnsi="Arial"/>
                <w:sz w:val="16"/>
              </w:rPr>
            </w:pPr>
          </w:p>
        </w:tc>
        <w:tc>
          <w:tcPr>
            <w:tcW w:w="709" w:type="dxa"/>
          </w:tcPr>
          <w:p w:rsidR="001B3D5D" w:rsidRDefault="001B3D5D">
            <w:pPr>
              <w:keepNext/>
              <w:spacing w:after="0" w:line="240" w:lineRule="auto"/>
              <w:rPr>
                <w:rFonts w:ascii="Arial" w:hAnsi="Arial"/>
                <w:sz w:val="16"/>
              </w:rPr>
            </w:pPr>
          </w:p>
        </w:tc>
      </w:tr>
      <w:tr w:rsidR="001B3D5D">
        <w:tc>
          <w:tcPr>
            <w:tcW w:w="3969" w:type="dxa"/>
            <w:tcBorders>
              <w:top w:val="single" w:sz="4" w:space="0" w:color="auto"/>
            </w:tcBorders>
          </w:tcPr>
          <w:p w:rsidR="001B3D5D" w:rsidRDefault="004D5502">
            <w:pPr>
              <w:keepNext/>
              <w:spacing w:after="0" w:line="240" w:lineRule="auto"/>
              <w:rPr>
                <w:rFonts w:ascii="Arial" w:hAnsi="Arial"/>
                <w:sz w:val="16"/>
              </w:rPr>
            </w:pPr>
            <w:r>
              <w:rPr>
                <w:rFonts w:ascii="Arial" w:hAnsi="Arial"/>
                <w:sz w:val="16"/>
              </w:rPr>
              <w:t>Name of witness (print)</w:t>
            </w:r>
          </w:p>
        </w:tc>
        <w:tc>
          <w:tcPr>
            <w:tcW w:w="709" w:type="dxa"/>
          </w:tcPr>
          <w:p w:rsidR="001B3D5D" w:rsidRDefault="001B3D5D">
            <w:pPr>
              <w:keepNext/>
              <w:spacing w:after="0" w:line="240" w:lineRule="auto"/>
              <w:rPr>
                <w:rFonts w:ascii="Arial" w:hAnsi="Arial"/>
                <w:sz w:val="16"/>
              </w:rPr>
            </w:pPr>
          </w:p>
        </w:tc>
        <w:tc>
          <w:tcPr>
            <w:tcW w:w="3969" w:type="dxa"/>
          </w:tcPr>
          <w:p w:rsidR="001B3D5D" w:rsidRDefault="001B3D5D">
            <w:pPr>
              <w:keepNext/>
              <w:spacing w:after="0" w:line="240" w:lineRule="auto"/>
              <w:rPr>
                <w:rFonts w:ascii="Arial" w:hAnsi="Arial"/>
                <w:sz w:val="16"/>
              </w:rPr>
            </w:pPr>
          </w:p>
        </w:tc>
        <w:tc>
          <w:tcPr>
            <w:tcW w:w="709" w:type="dxa"/>
          </w:tcPr>
          <w:p w:rsidR="001B3D5D" w:rsidRDefault="001B3D5D">
            <w:pPr>
              <w:keepNext/>
              <w:spacing w:after="0" w:line="240" w:lineRule="auto"/>
              <w:rPr>
                <w:rFonts w:ascii="Arial" w:hAnsi="Arial"/>
                <w:sz w:val="16"/>
              </w:rPr>
            </w:pPr>
          </w:p>
        </w:tc>
      </w:tr>
    </w:tbl>
    <w:p w:rsidR="001B3D5D" w:rsidRDefault="001B3D5D"/>
    <w:p w:rsidR="001B3D5D" w:rsidRDefault="001B3D5D"/>
    <w:p w:rsidR="001B3D5D" w:rsidRDefault="004D5502">
      <w:pPr>
        <w:keepNext/>
        <w:keepLines/>
        <w:spacing w:after="240"/>
        <w:rPr>
          <w:b/>
          <w:bCs/>
        </w:rPr>
      </w:pPr>
      <w:r>
        <w:rPr>
          <w:b/>
          <w:bCs/>
        </w:rPr>
        <w:t xml:space="preserve">[If the </w:t>
      </w:r>
      <w:r>
        <w:rPr>
          <w:b/>
          <w:bCs/>
        </w:rPr>
        <w:t>Tenant is a company]</w:t>
      </w:r>
    </w:p>
    <w:tbl>
      <w:tblPr>
        <w:tblW w:w="9337" w:type="dxa"/>
        <w:tblInd w:w="19" w:type="dxa"/>
        <w:tblLayout w:type="fixed"/>
        <w:tblCellMar>
          <w:left w:w="0" w:type="dxa"/>
          <w:right w:w="0" w:type="dxa"/>
        </w:tblCellMar>
        <w:tblLook w:val="0000" w:firstRow="0" w:lastRow="0" w:firstColumn="0" w:lastColumn="0" w:noHBand="0" w:noVBand="0"/>
      </w:tblPr>
      <w:tblGrid>
        <w:gridCol w:w="3960"/>
        <w:gridCol w:w="708"/>
        <w:gridCol w:w="3961"/>
        <w:gridCol w:w="708"/>
      </w:tblGrid>
      <w:tr w:rsidR="001B3D5D">
        <w:trPr>
          <w:trHeight w:val="600"/>
        </w:trPr>
        <w:tc>
          <w:tcPr>
            <w:tcW w:w="3960" w:type="dxa"/>
          </w:tcPr>
          <w:p w:rsidR="001B3D5D" w:rsidRDefault="004D5502">
            <w:pPr>
              <w:keepNext/>
              <w:spacing w:after="0" w:line="240" w:lineRule="auto"/>
              <w:rPr>
                <w:rFonts w:ascii="Arial" w:hAnsi="Arial"/>
                <w:sz w:val="20"/>
              </w:rPr>
            </w:pPr>
            <w:r>
              <w:rPr>
                <w:rFonts w:ascii="Arial" w:hAnsi="Arial"/>
                <w:b/>
                <w:sz w:val="20"/>
              </w:rPr>
              <w:t>Executed</w:t>
            </w:r>
            <w:r>
              <w:rPr>
                <w:rFonts w:ascii="Arial" w:hAnsi="Arial"/>
                <w:sz w:val="20"/>
              </w:rPr>
              <w:t xml:space="preserve"> by #tenant name company# in accordance with Section 127 of the </w:t>
            </w:r>
            <w:r>
              <w:rPr>
                <w:rFonts w:ascii="Arial" w:hAnsi="Arial"/>
                <w:i/>
                <w:sz w:val="20"/>
              </w:rPr>
              <w:t>Corporations Act 2001</w:t>
            </w:r>
          </w:p>
        </w:tc>
        <w:tc>
          <w:tcPr>
            <w:tcW w:w="708" w:type="dxa"/>
          </w:tcPr>
          <w:p w:rsidR="001B3D5D" w:rsidRDefault="001B3D5D">
            <w:pPr>
              <w:keepNext/>
              <w:spacing w:after="0" w:line="240" w:lineRule="auto"/>
              <w:jc w:val="center"/>
              <w:rPr>
                <w:rFonts w:ascii="Arial" w:hAnsi="Arial"/>
                <w:sz w:val="20"/>
              </w:rPr>
            </w:pPr>
          </w:p>
        </w:tc>
        <w:tc>
          <w:tcPr>
            <w:tcW w:w="3961" w:type="dxa"/>
          </w:tcPr>
          <w:p w:rsidR="001B3D5D" w:rsidRDefault="001B3D5D">
            <w:pPr>
              <w:keepNext/>
              <w:spacing w:after="0" w:line="240" w:lineRule="auto"/>
              <w:rPr>
                <w:rFonts w:ascii="Arial" w:hAnsi="Arial"/>
                <w:sz w:val="20"/>
              </w:rPr>
            </w:pPr>
          </w:p>
        </w:tc>
        <w:tc>
          <w:tcPr>
            <w:tcW w:w="708" w:type="dxa"/>
          </w:tcPr>
          <w:p w:rsidR="001B3D5D" w:rsidRDefault="001B3D5D">
            <w:pPr>
              <w:keepNext/>
              <w:spacing w:after="0" w:line="240" w:lineRule="auto"/>
              <w:rPr>
                <w:rFonts w:ascii="Arial" w:hAnsi="Arial"/>
                <w:sz w:val="20"/>
              </w:rPr>
            </w:pPr>
          </w:p>
        </w:tc>
      </w:tr>
      <w:tr w:rsidR="001B3D5D">
        <w:tc>
          <w:tcPr>
            <w:tcW w:w="3960" w:type="dxa"/>
            <w:tcBorders>
              <w:bottom w:val="single" w:sz="4" w:space="0" w:color="auto"/>
            </w:tcBorders>
            <w:vAlign w:val="bottom"/>
          </w:tcPr>
          <w:p w:rsidR="001B3D5D" w:rsidRDefault="001B3D5D">
            <w:pPr>
              <w:keepNext/>
              <w:spacing w:after="0" w:line="240" w:lineRule="auto"/>
              <w:rPr>
                <w:rFonts w:ascii="Arial" w:hAnsi="Arial"/>
                <w:sz w:val="20"/>
              </w:rPr>
            </w:pPr>
          </w:p>
        </w:tc>
        <w:tc>
          <w:tcPr>
            <w:tcW w:w="708" w:type="dxa"/>
            <w:vAlign w:val="bottom"/>
          </w:tcPr>
          <w:p w:rsidR="001B3D5D" w:rsidRDefault="004D5502">
            <w:pPr>
              <w:keepNext/>
              <w:spacing w:after="0" w:line="240" w:lineRule="auto"/>
              <w:jc w:val="center"/>
              <w:rPr>
                <w:rFonts w:ascii="Arial" w:hAnsi="Arial"/>
                <w:sz w:val="32"/>
              </w:rPr>
            </w:pPr>
            <w:r>
              <w:rPr>
                <w:rFonts w:ascii="Arial" w:hAnsi="Arial"/>
                <w:sz w:val="32"/>
              </w:rPr>
              <w:sym w:font="Symbol" w:char="F0AC"/>
            </w:r>
          </w:p>
        </w:tc>
        <w:tc>
          <w:tcPr>
            <w:tcW w:w="3961" w:type="dxa"/>
            <w:tcBorders>
              <w:bottom w:val="single" w:sz="4" w:space="0" w:color="auto"/>
            </w:tcBorders>
            <w:vAlign w:val="bottom"/>
          </w:tcPr>
          <w:p w:rsidR="001B3D5D" w:rsidRDefault="001B3D5D">
            <w:pPr>
              <w:keepNext/>
              <w:spacing w:after="0" w:line="240" w:lineRule="auto"/>
              <w:rPr>
                <w:rFonts w:ascii="Arial" w:hAnsi="Arial"/>
                <w:sz w:val="20"/>
              </w:rPr>
            </w:pPr>
          </w:p>
        </w:tc>
        <w:tc>
          <w:tcPr>
            <w:tcW w:w="708" w:type="dxa"/>
            <w:vAlign w:val="bottom"/>
          </w:tcPr>
          <w:p w:rsidR="001B3D5D" w:rsidRDefault="004D5502">
            <w:pPr>
              <w:keepNext/>
              <w:spacing w:after="0" w:line="240" w:lineRule="auto"/>
              <w:jc w:val="center"/>
              <w:rPr>
                <w:rFonts w:ascii="Arial" w:hAnsi="Arial"/>
                <w:sz w:val="20"/>
              </w:rPr>
            </w:pPr>
            <w:r>
              <w:rPr>
                <w:rFonts w:ascii="Arial" w:hAnsi="Arial"/>
                <w:sz w:val="32"/>
              </w:rPr>
              <w:sym w:font="Symbol" w:char="F0AC"/>
            </w:r>
          </w:p>
        </w:tc>
      </w:tr>
      <w:tr w:rsidR="001B3D5D">
        <w:tc>
          <w:tcPr>
            <w:tcW w:w="3960" w:type="dxa"/>
            <w:tcBorders>
              <w:top w:val="single" w:sz="4" w:space="0" w:color="auto"/>
              <w:bottom w:val="single" w:sz="4" w:space="0" w:color="auto"/>
            </w:tcBorders>
          </w:tcPr>
          <w:p w:rsidR="001B3D5D" w:rsidRDefault="004D5502">
            <w:pPr>
              <w:keepNext/>
              <w:spacing w:after="0" w:line="240" w:lineRule="auto"/>
              <w:rPr>
                <w:rFonts w:ascii="Arial" w:hAnsi="Arial"/>
                <w:sz w:val="16"/>
              </w:rPr>
            </w:pPr>
            <w:r>
              <w:rPr>
                <w:rFonts w:ascii="Arial" w:hAnsi="Arial"/>
                <w:sz w:val="16"/>
              </w:rPr>
              <w:t>Signature of director</w:t>
            </w:r>
          </w:p>
          <w:p w:rsidR="001B3D5D" w:rsidRDefault="001B3D5D">
            <w:pPr>
              <w:keepNext/>
              <w:spacing w:after="0" w:line="240" w:lineRule="auto"/>
              <w:rPr>
                <w:rFonts w:ascii="Arial" w:hAnsi="Arial"/>
                <w:sz w:val="20"/>
              </w:rPr>
            </w:pPr>
          </w:p>
          <w:p w:rsidR="001B3D5D" w:rsidRDefault="001B3D5D">
            <w:pPr>
              <w:keepNext/>
              <w:spacing w:after="0" w:line="240" w:lineRule="auto"/>
              <w:rPr>
                <w:rFonts w:ascii="Arial" w:hAnsi="Arial"/>
                <w:sz w:val="20"/>
              </w:rPr>
            </w:pPr>
          </w:p>
        </w:tc>
        <w:tc>
          <w:tcPr>
            <w:tcW w:w="708" w:type="dxa"/>
          </w:tcPr>
          <w:p w:rsidR="001B3D5D" w:rsidRDefault="001B3D5D">
            <w:pPr>
              <w:keepNext/>
              <w:spacing w:after="0" w:line="240" w:lineRule="auto"/>
              <w:jc w:val="center"/>
              <w:rPr>
                <w:rFonts w:ascii="Arial" w:hAnsi="Arial"/>
                <w:sz w:val="20"/>
              </w:rPr>
            </w:pPr>
          </w:p>
        </w:tc>
        <w:tc>
          <w:tcPr>
            <w:tcW w:w="3961" w:type="dxa"/>
            <w:tcBorders>
              <w:top w:val="single" w:sz="4" w:space="0" w:color="auto"/>
              <w:bottom w:val="single" w:sz="4" w:space="0" w:color="auto"/>
            </w:tcBorders>
          </w:tcPr>
          <w:p w:rsidR="001B3D5D" w:rsidRDefault="004D5502">
            <w:pPr>
              <w:keepNext/>
              <w:spacing w:after="0" w:line="240" w:lineRule="auto"/>
              <w:rPr>
                <w:rFonts w:ascii="Arial" w:hAnsi="Arial"/>
                <w:sz w:val="16"/>
              </w:rPr>
            </w:pPr>
            <w:r>
              <w:rPr>
                <w:rFonts w:ascii="Arial" w:hAnsi="Arial"/>
                <w:sz w:val="16"/>
              </w:rPr>
              <w:t>Signature of director/company secretary</w:t>
            </w:r>
          </w:p>
          <w:p w:rsidR="001B3D5D" w:rsidRDefault="004D5502">
            <w:pPr>
              <w:keepNext/>
              <w:spacing w:after="0" w:line="240" w:lineRule="auto"/>
              <w:rPr>
                <w:rFonts w:ascii="Arial" w:hAnsi="Arial"/>
                <w:sz w:val="20"/>
              </w:rPr>
            </w:pPr>
            <w:r>
              <w:rPr>
                <w:rFonts w:ascii="Arial" w:hAnsi="Arial"/>
                <w:sz w:val="16"/>
              </w:rPr>
              <w:t>(Please delete as applicable)</w:t>
            </w:r>
          </w:p>
          <w:p w:rsidR="001B3D5D" w:rsidRDefault="001B3D5D">
            <w:pPr>
              <w:keepNext/>
              <w:spacing w:after="0" w:line="240" w:lineRule="auto"/>
              <w:rPr>
                <w:rFonts w:ascii="Arial" w:hAnsi="Arial"/>
                <w:sz w:val="20"/>
              </w:rPr>
            </w:pPr>
          </w:p>
          <w:p w:rsidR="001B3D5D" w:rsidRDefault="001B3D5D">
            <w:pPr>
              <w:keepNext/>
              <w:spacing w:after="0" w:line="240" w:lineRule="auto"/>
              <w:rPr>
                <w:rFonts w:ascii="Arial" w:hAnsi="Arial"/>
                <w:sz w:val="20"/>
              </w:rPr>
            </w:pPr>
          </w:p>
        </w:tc>
        <w:tc>
          <w:tcPr>
            <w:tcW w:w="708" w:type="dxa"/>
          </w:tcPr>
          <w:p w:rsidR="001B3D5D" w:rsidRDefault="001B3D5D">
            <w:pPr>
              <w:keepNext/>
              <w:spacing w:after="0" w:line="240" w:lineRule="auto"/>
              <w:rPr>
                <w:rFonts w:ascii="Arial" w:hAnsi="Arial"/>
                <w:sz w:val="20"/>
              </w:rPr>
            </w:pPr>
          </w:p>
        </w:tc>
      </w:tr>
      <w:tr w:rsidR="001B3D5D">
        <w:tc>
          <w:tcPr>
            <w:tcW w:w="3960" w:type="dxa"/>
            <w:tcBorders>
              <w:top w:val="single" w:sz="4" w:space="0" w:color="auto"/>
            </w:tcBorders>
          </w:tcPr>
          <w:p w:rsidR="001B3D5D" w:rsidRDefault="004D5502">
            <w:pPr>
              <w:keepNext/>
              <w:spacing w:after="0" w:line="240" w:lineRule="auto"/>
              <w:rPr>
                <w:rFonts w:ascii="Arial" w:hAnsi="Arial"/>
                <w:sz w:val="16"/>
              </w:rPr>
            </w:pPr>
            <w:r>
              <w:rPr>
                <w:rFonts w:ascii="Arial" w:hAnsi="Arial"/>
                <w:sz w:val="16"/>
              </w:rPr>
              <w:t>Name of director (print)</w:t>
            </w:r>
          </w:p>
        </w:tc>
        <w:tc>
          <w:tcPr>
            <w:tcW w:w="708" w:type="dxa"/>
          </w:tcPr>
          <w:p w:rsidR="001B3D5D" w:rsidRDefault="001B3D5D">
            <w:pPr>
              <w:keepNext/>
              <w:spacing w:after="0" w:line="240" w:lineRule="auto"/>
              <w:rPr>
                <w:rFonts w:ascii="Arial" w:hAnsi="Arial"/>
                <w:sz w:val="20"/>
              </w:rPr>
            </w:pPr>
          </w:p>
        </w:tc>
        <w:tc>
          <w:tcPr>
            <w:tcW w:w="3961" w:type="dxa"/>
            <w:tcBorders>
              <w:top w:val="single" w:sz="4" w:space="0" w:color="auto"/>
            </w:tcBorders>
          </w:tcPr>
          <w:p w:rsidR="001B3D5D" w:rsidRDefault="004D5502">
            <w:pPr>
              <w:keepNext/>
              <w:spacing w:after="0" w:line="240" w:lineRule="auto"/>
              <w:rPr>
                <w:rFonts w:ascii="Arial" w:hAnsi="Arial"/>
                <w:sz w:val="16"/>
              </w:rPr>
            </w:pPr>
            <w:r>
              <w:rPr>
                <w:rFonts w:ascii="Arial" w:hAnsi="Arial"/>
                <w:sz w:val="16"/>
              </w:rPr>
              <w:t xml:space="preserve">Name </w:t>
            </w:r>
            <w:r>
              <w:rPr>
                <w:rFonts w:ascii="Arial" w:hAnsi="Arial"/>
                <w:sz w:val="16"/>
              </w:rPr>
              <w:t>of director/company secretary (print)</w:t>
            </w:r>
          </w:p>
        </w:tc>
        <w:tc>
          <w:tcPr>
            <w:tcW w:w="708" w:type="dxa"/>
          </w:tcPr>
          <w:p w:rsidR="001B3D5D" w:rsidRDefault="001B3D5D">
            <w:pPr>
              <w:keepNext/>
              <w:spacing w:after="0" w:line="240" w:lineRule="auto"/>
              <w:rPr>
                <w:rFonts w:ascii="Arial" w:hAnsi="Arial"/>
                <w:sz w:val="20"/>
              </w:rPr>
            </w:pPr>
          </w:p>
        </w:tc>
      </w:tr>
    </w:tbl>
    <w:p w:rsidR="001B3D5D" w:rsidRDefault="001B3D5D"/>
    <w:p w:rsidR="001B3D5D" w:rsidRDefault="001B3D5D"/>
    <w:p w:rsidR="001B3D5D" w:rsidRDefault="004D5502">
      <w:pPr>
        <w:pStyle w:val="ScheduleL1"/>
      </w:pPr>
      <w:bookmarkStart w:id="797" w:name="_Toc356911854"/>
      <w:bookmarkStart w:id="798" w:name="_Toc356911860"/>
      <w:bookmarkStart w:id="799" w:name="_Toc356911870"/>
      <w:bookmarkStart w:id="800" w:name="_Toc356911880"/>
      <w:bookmarkStart w:id="801" w:name="_Toc356911881"/>
      <w:bookmarkStart w:id="802" w:name="_Toc356911882"/>
      <w:bookmarkStart w:id="803" w:name="_Toc356911888"/>
      <w:bookmarkStart w:id="804" w:name="_Toc356911908"/>
      <w:bookmarkEnd w:id="797"/>
      <w:bookmarkEnd w:id="798"/>
      <w:bookmarkEnd w:id="799"/>
      <w:bookmarkEnd w:id="800"/>
      <w:bookmarkEnd w:id="801"/>
      <w:bookmarkEnd w:id="802"/>
      <w:bookmarkEnd w:id="803"/>
      <w:bookmarkEnd w:id="804"/>
      <w:r>
        <w:br w:type="page"/>
      </w:r>
      <w:bookmarkStart w:id="805" w:name="_Ref340476890"/>
      <w:bookmarkStart w:id="806" w:name="_Toc345578348"/>
      <w:r>
        <w:lastRenderedPageBreak/>
        <w:t xml:space="preserve"> </w:t>
      </w:r>
      <w:bookmarkStart w:id="807" w:name="_Toc411870744"/>
      <w:r>
        <w:t>– Landlord's Fixtures</w:t>
      </w:r>
      <w:bookmarkEnd w:id="805"/>
      <w:bookmarkEnd w:id="806"/>
      <w:bookmarkEnd w:id="807"/>
    </w:p>
    <w:p w:rsidR="001B3D5D" w:rsidRDefault="004D5502">
      <w:r>
        <w:t xml:space="preserve">External pedestrian door and furniture </w:t>
      </w:r>
    </w:p>
    <w:p w:rsidR="001B3D5D" w:rsidRDefault="004D5502">
      <w:r>
        <w:t xml:space="preserve">External roller door, motor and controls </w:t>
      </w:r>
    </w:p>
    <w:p w:rsidR="001B3D5D" w:rsidRDefault="004D5502">
      <w:r>
        <w:t xml:space="preserve">Bollards around doors </w:t>
      </w:r>
    </w:p>
    <w:p w:rsidR="001B3D5D" w:rsidRDefault="004D5502">
      <w:r>
        <w:t xml:space="preserve">PIR wall panels between tenancies </w:t>
      </w:r>
    </w:p>
    <w:p w:rsidR="001B3D5D" w:rsidRDefault="004D5502">
      <w:r>
        <w:t>PIR</w:t>
      </w:r>
      <w:r>
        <w:t xml:space="preserve"> ceiling panels (only applies to tenancies  with ceilings) </w:t>
      </w:r>
    </w:p>
    <w:p w:rsidR="001B3D5D" w:rsidRDefault="001B3D5D"/>
    <w:p w:rsidR="001B3D5D" w:rsidRDefault="004D5502">
      <w:r>
        <w:t xml:space="preserve">Electrical sub-board and meter (on gantry) </w:t>
      </w:r>
    </w:p>
    <w:p w:rsidR="001B3D5D" w:rsidRDefault="004D5502">
      <w:r>
        <w:t xml:space="preserve">Light fittings and cabling fixed to ceilings and in roof space </w:t>
      </w:r>
    </w:p>
    <w:p w:rsidR="001B3D5D" w:rsidRDefault="004D5502">
      <w:r>
        <w:t xml:space="preserve">EWIS speaker and cabling </w:t>
      </w:r>
    </w:p>
    <w:p w:rsidR="001B3D5D" w:rsidRDefault="004D5502">
      <w:r>
        <w:t xml:space="preserve">Communications rack (on gantry or in communications room depending on location) </w:t>
      </w:r>
    </w:p>
    <w:p w:rsidR="001B3D5D" w:rsidRDefault="004D5502">
      <w:r>
        <w:t xml:space="preserve">Cable trays for power and data reticulation (above ceilings in roof space) </w:t>
      </w:r>
    </w:p>
    <w:p w:rsidR="001B3D5D" w:rsidRDefault="004D5502">
      <w:r>
        <w:t xml:space="preserve">Sprinklers </w:t>
      </w:r>
    </w:p>
    <w:p w:rsidR="001B3D5D" w:rsidRDefault="001B3D5D"/>
    <w:p w:rsidR="001B3D5D" w:rsidRDefault="004D5502">
      <w:r>
        <w:t xml:space="preserve">Domestic cold water 25mm supply and stop valve (on gantry) </w:t>
      </w:r>
    </w:p>
    <w:p w:rsidR="001B3D5D" w:rsidRDefault="004D5502">
      <w:r>
        <w:t>Domestic cold water flow m</w:t>
      </w:r>
      <w:r>
        <w:t xml:space="preserve">eters (on gantry) </w:t>
      </w:r>
    </w:p>
    <w:p w:rsidR="001B3D5D" w:rsidRDefault="004D5502">
      <w:r>
        <w:t xml:space="preserve">Treated rainwater supply and stop valve (on gantry) </w:t>
      </w:r>
    </w:p>
    <w:p w:rsidR="001B3D5D" w:rsidRDefault="004D5502">
      <w:r>
        <w:t xml:space="preserve">Trade waste connection in the floor </w:t>
      </w:r>
    </w:p>
    <w:p w:rsidR="001B3D5D" w:rsidRDefault="004D5502">
      <w:r>
        <w:t xml:space="preserve">Trade waste grated trenches (on outside edge of building) </w:t>
      </w:r>
    </w:p>
    <w:p w:rsidR="001B3D5D" w:rsidRDefault="004D5502">
      <w:r>
        <w:t xml:space="preserve">Equipment platform for tenant refrigeration equipment (external) </w:t>
      </w:r>
    </w:p>
    <w:p w:rsidR="001B3D5D" w:rsidRDefault="004D5502">
      <w:r>
        <w:t>Tenancy identification</w:t>
      </w:r>
      <w:r>
        <w:t xml:space="preserve"> numbering signage outside</w:t>
      </w:r>
    </w:p>
    <w:p w:rsidR="001B3D5D" w:rsidRDefault="004D5502">
      <w:pPr>
        <w:pStyle w:val="ScheduleL1"/>
      </w:pPr>
      <w:bookmarkStart w:id="808" w:name="_Toc349900933"/>
      <w:bookmarkStart w:id="809" w:name="_Toc349902452"/>
      <w:bookmarkStart w:id="810" w:name="_Toc349912144"/>
      <w:bookmarkStart w:id="811" w:name="_Toc349900934"/>
      <w:bookmarkStart w:id="812" w:name="_Toc349902453"/>
      <w:bookmarkStart w:id="813" w:name="_Toc349912145"/>
      <w:bookmarkStart w:id="814" w:name="_Toc349900935"/>
      <w:bookmarkStart w:id="815" w:name="_Toc349902454"/>
      <w:bookmarkStart w:id="816" w:name="_Toc349912146"/>
      <w:bookmarkStart w:id="817" w:name="_Toc349900936"/>
      <w:bookmarkStart w:id="818" w:name="_Toc349902455"/>
      <w:bookmarkStart w:id="819" w:name="_Toc349912147"/>
      <w:bookmarkStart w:id="820" w:name="_Toc349900937"/>
      <w:bookmarkStart w:id="821" w:name="_Toc349902456"/>
      <w:bookmarkStart w:id="822" w:name="_Toc349912148"/>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r>
        <w:br w:type="page"/>
      </w:r>
      <w:r>
        <w:lastRenderedPageBreak/>
        <w:t xml:space="preserve"> </w:t>
      </w:r>
      <w:bookmarkStart w:id="823" w:name="_Ref340477342"/>
      <w:bookmarkStart w:id="824" w:name="_Toc345578349"/>
      <w:bookmarkStart w:id="825" w:name="_Toc411870745"/>
      <w:r>
        <w:t>– Other expenses</w:t>
      </w:r>
      <w:bookmarkEnd w:id="823"/>
      <w:bookmarkEnd w:id="824"/>
      <w:bookmarkEnd w:id="825"/>
    </w:p>
    <w:p w:rsidR="001B3D5D" w:rsidRDefault="004D5502">
      <w:pPr>
        <w:pStyle w:val="ScheduleL2"/>
      </w:pPr>
      <w:bookmarkStart w:id="826" w:name="_Ref340480933"/>
      <w:r>
        <w:t>Outgoings</w:t>
      </w:r>
    </w:p>
    <w:p w:rsidR="001B3D5D" w:rsidRDefault="004D5502">
      <w:pPr>
        <w:pStyle w:val="ScheduleL3"/>
      </w:pPr>
      <w:r>
        <w:t>Definitions</w:t>
      </w:r>
    </w:p>
    <w:p w:rsidR="001B3D5D" w:rsidRDefault="004D5502">
      <w:r>
        <w:tab/>
        <w:t>In this clause 1:</w:t>
      </w:r>
    </w:p>
    <w:p w:rsidR="001B3D5D" w:rsidRDefault="004D5502">
      <w:pPr>
        <w:pStyle w:val="ScheduleL4"/>
      </w:pPr>
      <w:r>
        <w:rPr>
          <w:b/>
        </w:rPr>
        <w:t>Outgoings Period</w:t>
      </w:r>
      <w:r>
        <w:t xml:space="preserve"> means for each Outgoing, the period to which the Outgoing relates; </w:t>
      </w:r>
    </w:p>
    <w:p w:rsidR="001B3D5D" w:rsidRDefault="004D5502">
      <w:pPr>
        <w:pStyle w:val="ScheduleL4"/>
      </w:pPr>
      <w:r>
        <w:rPr>
          <w:b/>
        </w:rPr>
        <w:t xml:space="preserve">Outgoings </w:t>
      </w:r>
      <w:r>
        <w:t>means the amounts paid or payable by the Landlord in connection with the W</w:t>
      </w:r>
      <w:r>
        <w:t>arehouse Land including but not limited to:</w:t>
      </w:r>
    </w:p>
    <w:p w:rsidR="001B3D5D" w:rsidRDefault="004D5502">
      <w:pPr>
        <w:pStyle w:val="MELegal4"/>
      </w:pPr>
      <w:r>
        <w:t>rates, land tax, and levies and charges imposed by any Law or Authority;</w:t>
      </w:r>
    </w:p>
    <w:p w:rsidR="001B3D5D" w:rsidRDefault="004D5502">
      <w:pPr>
        <w:pStyle w:val="MELegal4"/>
      </w:pPr>
      <w:r>
        <w:t>taxes, levies, charges, imposts, deductions, withholdings and duties imposed by any Law or Authority; and</w:t>
      </w:r>
    </w:p>
    <w:p w:rsidR="001B3D5D" w:rsidRDefault="004D5502">
      <w:pPr>
        <w:pStyle w:val="MELegal4"/>
      </w:pPr>
      <w:r>
        <w:t>charges for services which are no</w:t>
      </w:r>
      <w:r>
        <w:t xml:space="preserve">t separately metered to an occupier of the Warehouse Land;  </w:t>
      </w:r>
    </w:p>
    <w:p w:rsidR="001B3D5D" w:rsidRDefault="004D5502">
      <w:pPr>
        <w:pStyle w:val="ScheduleL4"/>
      </w:pPr>
      <w:r>
        <w:rPr>
          <w:b/>
        </w:rPr>
        <w:t>Tenant's Proportion</w:t>
      </w:r>
      <w:r>
        <w:t xml:space="preserve"> means for each Outgoing, the proportion that the lettable area of the Premises bears to the total lettable area assessed for that Outgoing, as determined by the Landlord and n</w:t>
      </w:r>
      <w:r>
        <w:t>otified to the Tenant; and</w:t>
      </w:r>
    </w:p>
    <w:p w:rsidR="001B3D5D" w:rsidRDefault="004D5502">
      <w:pPr>
        <w:pStyle w:val="ScheduleL4"/>
      </w:pPr>
      <w:r>
        <w:rPr>
          <w:b/>
        </w:rPr>
        <w:t>Tenant's Share</w:t>
      </w:r>
      <w:r>
        <w:t xml:space="preserve"> means for each Outgoing, the amount shown as 'TS' in the following formula:</w:t>
      </w:r>
    </w:p>
    <w:p w:rsidR="001B3D5D" w:rsidRDefault="004D5502">
      <w:pPr>
        <w:ind w:left="1418"/>
      </w:pPr>
      <w:r>
        <w:rPr>
          <w:position w:val="-24"/>
        </w:rPr>
        <w:object w:dxaOrig="19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31.5pt" o:ole="" fillcolor="window">
            <v:imagedata r:id="rId16" o:title=""/>
          </v:shape>
          <o:OLEObject Type="Embed" ProgID="Equation.3" ShapeID="_x0000_i1025" DrawAspect="Content" ObjectID="_1486301965" r:id="rId17"/>
        </w:object>
      </w:r>
    </w:p>
    <w:p w:rsidR="001B3D5D" w:rsidRDefault="004D5502">
      <w:pPr>
        <w:ind w:left="698" w:firstLine="720"/>
      </w:pPr>
      <w:r>
        <w:t>where:</w:t>
      </w:r>
    </w:p>
    <w:p w:rsidR="001B3D5D" w:rsidRDefault="004D5502">
      <w:pPr>
        <w:ind w:left="698" w:firstLine="720"/>
      </w:pPr>
      <w:r>
        <w:t>TP</w:t>
      </w:r>
      <w:r>
        <w:tab/>
        <w:t xml:space="preserve">= </w:t>
      </w:r>
      <w:r>
        <w:tab/>
        <w:t>the Tenant's Proportion of that Outgoing (expressed as a decimal);</w:t>
      </w:r>
    </w:p>
    <w:p w:rsidR="001B3D5D" w:rsidRDefault="004D5502">
      <w:pPr>
        <w:ind w:left="698" w:firstLine="720"/>
      </w:pPr>
      <w:r>
        <w:t>D</w:t>
      </w:r>
      <w:r>
        <w:tab/>
        <w:t xml:space="preserve">= </w:t>
      </w:r>
      <w:r>
        <w:tab/>
        <w:t>the number of days of the Term</w:t>
      </w:r>
      <w:r>
        <w:t xml:space="preserve"> in that Outgoings Period;</w:t>
      </w:r>
    </w:p>
    <w:p w:rsidR="001B3D5D" w:rsidRDefault="004D5502">
      <w:pPr>
        <w:ind w:left="698" w:firstLine="720"/>
      </w:pPr>
      <w:r>
        <w:t xml:space="preserve">O </w:t>
      </w:r>
      <w:r>
        <w:tab/>
        <w:t xml:space="preserve">= </w:t>
      </w:r>
      <w:r>
        <w:tab/>
        <w:t>the Outgoing for that Outgoings Period; and</w:t>
      </w:r>
    </w:p>
    <w:p w:rsidR="001B3D5D" w:rsidRDefault="004D5502">
      <w:pPr>
        <w:ind w:left="641" w:firstLine="720"/>
      </w:pPr>
      <w:r>
        <w:t xml:space="preserve"> Y </w:t>
      </w:r>
      <w:r>
        <w:tab/>
        <w:t>=</w:t>
      </w:r>
      <w:r>
        <w:tab/>
        <w:t>the number of days in that Outgoings Period.</w:t>
      </w:r>
    </w:p>
    <w:p w:rsidR="001B3D5D" w:rsidRDefault="004D5502">
      <w:pPr>
        <w:pStyle w:val="ScheduleL3"/>
      </w:pPr>
      <w:r>
        <w:t xml:space="preserve">Payment of Outgoings </w:t>
      </w:r>
    </w:p>
    <w:p w:rsidR="001B3D5D" w:rsidRDefault="004D5502">
      <w:pPr>
        <w:pStyle w:val="ScheduleL4"/>
      </w:pPr>
      <w:r>
        <w:t>The Tenant must pay on demand the Tenant's Share of any Outgoing.</w:t>
      </w:r>
    </w:p>
    <w:p w:rsidR="001B3D5D" w:rsidRDefault="004D5502">
      <w:pPr>
        <w:pStyle w:val="ScheduleL4"/>
      </w:pPr>
      <w:r>
        <w:t>The Tenant must pay direct to the releva</w:t>
      </w:r>
      <w:r>
        <w:t>nt Authority, or if the Landlord requires, must reimburse to the Landlord by the due date:</w:t>
      </w:r>
    </w:p>
    <w:p w:rsidR="001B3D5D" w:rsidRDefault="004D5502">
      <w:pPr>
        <w:pStyle w:val="MELegal4"/>
        <w:numPr>
          <w:ilvl w:val="3"/>
          <w:numId w:val="92"/>
        </w:numPr>
      </w:pPr>
      <w:r>
        <w:t>all rates, taxes, levies and charges imposed or separately charged or assessed by any Law or Authority against the Premises; and</w:t>
      </w:r>
    </w:p>
    <w:p w:rsidR="001B3D5D" w:rsidRDefault="004D5502">
      <w:pPr>
        <w:pStyle w:val="MELegal4"/>
      </w:pPr>
      <w:r>
        <w:t>all rates, taxes, levies and charges</w:t>
      </w:r>
      <w:r>
        <w:t xml:space="preserve"> imposed or separately charged by any Law or Authority in relation to  the use or occupation of the Premises by the Tenant.</w:t>
      </w:r>
      <w:bookmarkEnd w:id="826"/>
    </w:p>
    <w:p w:rsidR="001B3D5D" w:rsidRDefault="004D5502">
      <w:pPr>
        <w:pStyle w:val="ScheduleL2"/>
      </w:pPr>
      <w:bookmarkStart w:id="827" w:name="_Ref341172834"/>
      <w:r>
        <w:t>Charges for Utilities</w:t>
      </w:r>
      <w:bookmarkEnd w:id="827"/>
      <w:r>
        <w:t xml:space="preserve"> </w:t>
      </w:r>
    </w:p>
    <w:p w:rsidR="001B3D5D" w:rsidRDefault="004D5502">
      <w:pPr>
        <w:pStyle w:val="ScheduleL4"/>
      </w:pPr>
      <w:bookmarkStart w:id="828" w:name="_Ref340480971"/>
      <w:r>
        <w:t>The Tenant must punctually pay to the relevant Authority by the due date all Costs for:</w:t>
      </w:r>
      <w:bookmarkEnd w:id="828"/>
    </w:p>
    <w:p w:rsidR="001B3D5D" w:rsidRDefault="004D5502">
      <w:pPr>
        <w:pStyle w:val="ScheduleL5"/>
      </w:pPr>
      <w:r>
        <w:lastRenderedPageBreak/>
        <w:t>electricity, gas, oil</w:t>
      </w:r>
      <w:r>
        <w:t xml:space="preserve"> and water separately metered and consumed in the Premises;</w:t>
      </w:r>
    </w:p>
    <w:p w:rsidR="001B3D5D" w:rsidRDefault="004D5502">
      <w:pPr>
        <w:pStyle w:val="ScheduleL5"/>
      </w:pPr>
      <w:r>
        <w:t>telecommunication services connected to the Premises; and</w:t>
      </w:r>
    </w:p>
    <w:p w:rsidR="001B3D5D" w:rsidRDefault="004D5502">
      <w:pPr>
        <w:pStyle w:val="ScheduleL5"/>
      </w:pPr>
      <w:r>
        <w:t>all other charges and impositions imposed by an Authority for the supply of a service to the Premises.</w:t>
      </w:r>
    </w:p>
    <w:p w:rsidR="001B3D5D" w:rsidRDefault="004D5502">
      <w:pPr>
        <w:pStyle w:val="ScheduleL4"/>
      </w:pPr>
      <w:r>
        <w:t>If the Tenant does not punctually p</w:t>
      </w:r>
      <w:r>
        <w:t>ay an account specified in clause 2(a) of this Schedule 2, the Landlord may pay the amount due and in that case the Tenant must promptly repay the amount paid by the Landlord to the Landlord.</w:t>
      </w:r>
    </w:p>
    <w:p w:rsidR="001B3D5D" w:rsidRDefault="004D5502">
      <w:pPr>
        <w:pStyle w:val="ScheduleL2"/>
      </w:pPr>
      <w:bookmarkStart w:id="829" w:name="_Ref340481304"/>
      <w:r>
        <w:t>Electricity and utility supply</w:t>
      </w:r>
      <w:bookmarkEnd w:id="829"/>
      <w:r>
        <w:t xml:space="preserve"> </w:t>
      </w:r>
    </w:p>
    <w:p w:rsidR="001B3D5D" w:rsidRDefault="004D5502">
      <w:pPr>
        <w:pStyle w:val="ScheduleL4"/>
      </w:pPr>
      <w:bookmarkStart w:id="830" w:name="_Ref340481305"/>
      <w:r>
        <w:t xml:space="preserve">The Landlord may, to the extent </w:t>
      </w:r>
      <w:r>
        <w:t>permitted by Law, elect to supply the whole or any part of the Tenant's requirements for electricity, gas, water, telephone or any other service normally supplied to the Premises by any utility supplier.</w:t>
      </w:r>
      <w:bookmarkEnd w:id="830"/>
    </w:p>
    <w:p w:rsidR="001B3D5D" w:rsidRDefault="004D5502">
      <w:pPr>
        <w:pStyle w:val="ScheduleL4"/>
      </w:pPr>
      <w:r>
        <w:t xml:space="preserve">If the Landlord makes an election under clause 3(a) </w:t>
      </w:r>
      <w:r>
        <w:t>of this Schedule 2, then:</w:t>
      </w:r>
    </w:p>
    <w:p w:rsidR="001B3D5D" w:rsidRDefault="004D5502">
      <w:pPr>
        <w:pStyle w:val="ScheduleL5"/>
      </w:pPr>
      <w:r>
        <w:t>the Tenant must pay the Landlord the price for that service that the Landlord specifies (which must not be greater than the price charged to the Landlord by the supplier); and</w:t>
      </w:r>
    </w:p>
    <w:p w:rsidR="001B3D5D" w:rsidRDefault="004D5502">
      <w:pPr>
        <w:pStyle w:val="ScheduleL5"/>
      </w:pPr>
      <w:r>
        <w:t>if that price is greater than the price that the Tenan</w:t>
      </w:r>
      <w:r>
        <w:t>t would be required to pay if the Tenant had procured the service directly from a supplier, and can demonstrate this to the Landlord’s reasonable satisfaction, the Landlord will endeavour to release the Tenant from the arrangements for common supply, subje</w:t>
      </w:r>
      <w:r>
        <w:t>ct to the Landlord not being in breach of its arrangements, and subject to the release not increasing the costs for supply of the service charged to the Landlord or any other tenant.</w:t>
      </w:r>
    </w:p>
    <w:p w:rsidR="001B3D5D" w:rsidRDefault="004D5502">
      <w:pPr>
        <w:pStyle w:val="ScheduleL4"/>
      </w:pPr>
      <w:r>
        <w:t>The Landlord is not liable for any Claims that the Tenant or the Tenant's</w:t>
      </w:r>
      <w:r>
        <w:t xml:space="preserve"> Agents suffer because of any non-supply or failure of, or interruption to, any service provided by the Landlord under this clause.</w:t>
      </w:r>
    </w:p>
    <w:p w:rsidR="001B3D5D" w:rsidRDefault="004D5502">
      <w:pPr>
        <w:pStyle w:val="ScheduleL4"/>
      </w:pPr>
      <w:r>
        <w:t>If the Landlord does provide any service under this clause, the Landlord may elect at any time on 20 Business Days notice to</w:t>
      </w:r>
      <w:r>
        <w:t xml:space="preserve"> the Tenant to stop supplying the Tenant with that service, so long as that service is available to the Tenant from any utility supplier.</w:t>
      </w:r>
    </w:p>
    <w:p w:rsidR="001B3D5D" w:rsidRDefault="001B3D5D"/>
    <w:p w:rsidR="001B3D5D" w:rsidRDefault="001B3D5D"/>
    <w:p w:rsidR="001B3D5D" w:rsidRDefault="001B3D5D"/>
    <w:p w:rsidR="001B3D5D" w:rsidRDefault="001B3D5D"/>
    <w:p w:rsidR="001B3D5D" w:rsidRDefault="001B3D5D"/>
    <w:p w:rsidR="001B3D5D" w:rsidRDefault="001B3D5D"/>
    <w:p w:rsidR="001B3D5D" w:rsidRDefault="001B3D5D"/>
    <w:p w:rsidR="001B3D5D" w:rsidRDefault="001B3D5D"/>
    <w:p w:rsidR="001B3D5D" w:rsidRDefault="001B3D5D"/>
    <w:p w:rsidR="001B3D5D" w:rsidRDefault="001B3D5D"/>
    <w:p w:rsidR="001B3D5D" w:rsidRDefault="001B3D5D"/>
    <w:p w:rsidR="001B3D5D" w:rsidRDefault="004D5502">
      <w:pPr>
        <w:pStyle w:val="ScheduleL1"/>
      </w:pPr>
      <w:bookmarkStart w:id="831" w:name="_Toc411335862"/>
      <w:r>
        <w:lastRenderedPageBreak/>
        <w:t xml:space="preserve"> </w:t>
      </w:r>
      <w:bookmarkStart w:id="832" w:name="_Ref374541138"/>
      <w:bookmarkStart w:id="833" w:name="_Toc411870746"/>
      <w:r>
        <w:t>– Landlord's Maintenance Items</w:t>
      </w:r>
      <w:bookmarkEnd w:id="831"/>
      <w:bookmarkEnd w:id="832"/>
      <w:bookmarkEnd w:id="833"/>
    </w:p>
    <w:p w:rsidR="001B3D5D" w:rsidRDefault="001B3D5D">
      <w:pPr>
        <w:sectPr w:rsidR="001B3D5D">
          <w:footerReference w:type="default" r:id="rId18"/>
          <w:pgSz w:w="11907" w:h="16840" w:code="9"/>
          <w:pgMar w:top="1134" w:right="1134" w:bottom="1134" w:left="1418" w:header="567" w:footer="567" w:gutter="0"/>
          <w:cols w:space="720"/>
          <w:docGrid w:linePitch="299"/>
        </w:sectPr>
      </w:pPr>
    </w:p>
    <w:p w:rsidR="001B3D5D" w:rsidRDefault="001B3D5D">
      <w:pPr>
        <w:pStyle w:val="NoSpacing"/>
        <w:spacing w:line="40" w:lineRule="exact"/>
      </w:pPr>
    </w:p>
    <w:tbl>
      <w:tblPr>
        <w:tblW w:w="0" w:type="auto"/>
        <w:tblLayout w:type="fixed"/>
        <w:tblCellMar>
          <w:left w:w="0" w:type="dxa"/>
          <w:right w:w="0" w:type="dxa"/>
        </w:tblCellMar>
        <w:tblLook w:val="0000" w:firstRow="0" w:lastRow="0" w:firstColumn="0" w:lastColumn="0" w:noHBand="0" w:noVBand="0"/>
      </w:tblPr>
      <w:tblGrid>
        <w:gridCol w:w="2552"/>
        <w:gridCol w:w="283"/>
        <w:gridCol w:w="6379"/>
      </w:tblGrid>
      <w:tr w:rsidR="001B3D5D">
        <w:trPr>
          <w:cantSplit/>
          <w:trHeight w:hRule="exact" w:val="2400"/>
        </w:trPr>
        <w:tc>
          <w:tcPr>
            <w:tcW w:w="2552" w:type="dxa"/>
            <w:vAlign w:val="center"/>
          </w:tcPr>
          <w:p w:rsidR="001B3D5D" w:rsidRDefault="001B3D5D">
            <w:pPr>
              <w:pStyle w:val="DraftText"/>
            </w:pPr>
          </w:p>
        </w:tc>
        <w:tc>
          <w:tcPr>
            <w:tcW w:w="283" w:type="dxa"/>
          </w:tcPr>
          <w:p w:rsidR="001B3D5D" w:rsidRDefault="001B3D5D"/>
        </w:tc>
        <w:tc>
          <w:tcPr>
            <w:tcW w:w="6379" w:type="dxa"/>
            <w:vAlign w:val="center"/>
          </w:tcPr>
          <w:p w:rsidR="001B3D5D" w:rsidRDefault="001B3D5D"/>
        </w:tc>
      </w:tr>
      <w:tr w:rsidR="001B3D5D">
        <w:trPr>
          <w:cantSplit/>
        </w:trPr>
        <w:tc>
          <w:tcPr>
            <w:tcW w:w="2552" w:type="dxa"/>
            <w:tcBorders>
              <w:right w:val="single" w:sz="18" w:space="0" w:color="auto"/>
            </w:tcBorders>
          </w:tcPr>
          <w:p w:rsidR="001B3D5D" w:rsidRDefault="001B3D5D">
            <w:bookmarkStart w:id="837" w:name="bkNoAnnexure"/>
            <w:bookmarkEnd w:id="837"/>
          </w:p>
        </w:tc>
        <w:tc>
          <w:tcPr>
            <w:tcW w:w="283" w:type="dxa"/>
            <w:tcBorders>
              <w:left w:val="nil"/>
            </w:tcBorders>
          </w:tcPr>
          <w:p w:rsidR="001B3D5D" w:rsidRDefault="001B3D5D"/>
        </w:tc>
        <w:tc>
          <w:tcPr>
            <w:tcW w:w="6379" w:type="dxa"/>
          </w:tcPr>
          <w:p w:rsidR="001B3D5D" w:rsidRDefault="004D5502">
            <w:pPr>
              <w:pStyle w:val="CoverPageAnnexure"/>
            </w:pPr>
            <w:r>
              <w:t xml:space="preserve">Annexure </w:t>
            </w:r>
            <w:bookmarkStart w:id="838" w:name="bkAnnexureNum"/>
            <w:bookmarkEnd w:id="838"/>
            <w:r>
              <w:t>A</w:t>
            </w:r>
          </w:p>
        </w:tc>
      </w:tr>
      <w:tr w:rsidR="001B3D5D">
        <w:trPr>
          <w:cantSplit/>
        </w:trPr>
        <w:tc>
          <w:tcPr>
            <w:tcW w:w="2552" w:type="dxa"/>
            <w:tcBorders>
              <w:right w:val="single" w:sz="18" w:space="0" w:color="auto"/>
            </w:tcBorders>
          </w:tcPr>
          <w:p w:rsidR="001B3D5D" w:rsidRDefault="001B3D5D"/>
        </w:tc>
        <w:tc>
          <w:tcPr>
            <w:tcW w:w="283" w:type="dxa"/>
            <w:tcBorders>
              <w:left w:val="nil"/>
            </w:tcBorders>
          </w:tcPr>
          <w:p w:rsidR="001B3D5D" w:rsidRDefault="001B3D5D"/>
        </w:tc>
        <w:tc>
          <w:tcPr>
            <w:tcW w:w="6379" w:type="dxa"/>
          </w:tcPr>
          <w:p w:rsidR="001B3D5D" w:rsidRDefault="004D5502">
            <w:pPr>
              <w:pStyle w:val="CoverPageDetails"/>
            </w:pPr>
            <w:bookmarkStart w:id="839" w:name="bkAnnexureTitle"/>
            <w:bookmarkEnd w:id="839"/>
            <w:r>
              <w:t>Premises and Staging Zone Plan</w:t>
            </w:r>
          </w:p>
        </w:tc>
      </w:tr>
      <w:tr w:rsidR="001B3D5D">
        <w:trPr>
          <w:cantSplit/>
          <w:trHeight w:hRule="exact" w:val="240"/>
        </w:trPr>
        <w:tc>
          <w:tcPr>
            <w:tcW w:w="2552" w:type="dxa"/>
            <w:tcBorders>
              <w:right w:val="single" w:sz="18" w:space="0" w:color="auto"/>
            </w:tcBorders>
          </w:tcPr>
          <w:p w:rsidR="001B3D5D" w:rsidRDefault="001B3D5D"/>
        </w:tc>
        <w:tc>
          <w:tcPr>
            <w:tcW w:w="283" w:type="dxa"/>
            <w:tcBorders>
              <w:left w:val="nil"/>
            </w:tcBorders>
          </w:tcPr>
          <w:p w:rsidR="001B3D5D" w:rsidRDefault="001B3D5D"/>
        </w:tc>
        <w:tc>
          <w:tcPr>
            <w:tcW w:w="6379" w:type="dxa"/>
            <w:tcBorders>
              <w:top w:val="single" w:sz="4" w:space="0" w:color="auto"/>
            </w:tcBorders>
          </w:tcPr>
          <w:p w:rsidR="001B3D5D" w:rsidRDefault="001B3D5D"/>
        </w:tc>
      </w:tr>
      <w:tr w:rsidR="001B3D5D">
        <w:trPr>
          <w:cantSplit/>
        </w:trPr>
        <w:tc>
          <w:tcPr>
            <w:tcW w:w="2552" w:type="dxa"/>
            <w:tcBorders>
              <w:right w:val="single" w:sz="18" w:space="0" w:color="auto"/>
            </w:tcBorders>
          </w:tcPr>
          <w:p w:rsidR="001B3D5D" w:rsidRDefault="001B3D5D"/>
        </w:tc>
        <w:tc>
          <w:tcPr>
            <w:tcW w:w="283" w:type="dxa"/>
            <w:tcBorders>
              <w:left w:val="nil"/>
            </w:tcBorders>
          </w:tcPr>
          <w:p w:rsidR="001B3D5D" w:rsidRDefault="001B3D5D"/>
        </w:tc>
        <w:tc>
          <w:tcPr>
            <w:tcW w:w="6379" w:type="dxa"/>
          </w:tcPr>
          <w:p w:rsidR="001B3D5D" w:rsidRDefault="004D5502">
            <w:pPr>
              <w:pStyle w:val="CoverPageNames"/>
            </w:pPr>
            <w:r>
              <w:t>Annexure to Part A Warehouse Lease</w:t>
            </w:r>
          </w:p>
        </w:tc>
      </w:tr>
    </w:tbl>
    <w:p w:rsidR="001B3D5D" w:rsidRDefault="001B3D5D">
      <w:pPr>
        <w:pStyle w:val="DefinitionL1"/>
      </w:pPr>
    </w:p>
    <w:p w:rsidR="001B3D5D" w:rsidRDefault="001B3D5D">
      <w:pPr>
        <w:sectPr w:rsidR="001B3D5D">
          <w:footerReference w:type="default" r:id="rId19"/>
          <w:pgSz w:w="11907" w:h="16840" w:code="9"/>
          <w:pgMar w:top="1134" w:right="1134" w:bottom="1134" w:left="1418" w:header="567" w:footer="567" w:gutter="0"/>
          <w:cols w:space="720"/>
          <w:docGrid w:linePitch="299"/>
        </w:sectPr>
      </w:pPr>
    </w:p>
    <w:p w:rsidR="001B3D5D" w:rsidRDefault="001B3D5D">
      <w:pPr>
        <w:pStyle w:val="NoSpacing"/>
        <w:spacing w:line="40" w:lineRule="exact"/>
      </w:pPr>
    </w:p>
    <w:tbl>
      <w:tblPr>
        <w:tblW w:w="0" w:type="auto"/>
        <w:tblLayout w:type="fixed"/>
        <w:tblCellMar>
          <w:left w:w="0" w:type="dxa"/>
          <w:right w:w="0" w:type="dxa"/>
        </w:tblCellMar>
        <w:tblLook w:val="0000" w:firstRow="0" w:lastRow="0" w:firstColumn="0" w:lastColumn="0" w:noHBand="0" w:noVBand="0"/>
      </w:tblPr>
      <w:tblGrid>
        <w:gridCol w:w="2552"/>
        <w:gridCol w:w="283"/>
        <w:gridCol w:w="6379"/>
      </w:tblGrid>
      <w:tr w:rsidR="001B3D5D">
        <w:trPr>
          <w:cantSplit/>
          <w:trHeight w:hRule="exact" w:val="2400"/>
        </w:trPr>
        <w:tc>
          <w:tcPr>
            <w:tcW w:w="2552" w:type="dxa"/>
            <w:vAlign w:val="center"/>
          </w:tcPr>
          <w:p w:rsidR="001B3D5D" w:rsidRDefault="001B3D5D">
            <w:pPr>
              <w:pStyle w:val="DraftText"/>
            </w:pPr>
          </w:p>
        </w:tc>
        <w:tc>
          <w:tcPr>
            <w:tcW w:w="283" w:type="dxa"/>
          </w:tcPr>
          <w:p w:rsidR="001B3D5D" w:rsidRDefault="001B3D5D"/>
        </w:tc>
        <w:tc>
          <w:tcPr>
            <w:tcW w:w="6379" w:type="dxa"/>
            <w:vAlign w:val="center"/>
          </w:tcPr>
          <w:p w:rsidR="001B3D5D" w:rsidRDefault="001B3D5D"/>
        </w:tc>
      </w:tr>
      <w:tr w:rsidR="001B3D5D">
        <w:trPr>
          <w:cantSplit/>
        </w:trPr>
        <w:tc>
          <w:tcPr>
            <w:tcW w:w="2552" w:type="dxa"/>
            <w:tcBorders>
              <w:right w:val="single" w:sz="18" w:space="0" w:color="auto"/>
            </w:tcBorders>
          </w:tcPr>
          <w:p w:rsidR="001B3D5D" w:rsidRDefault="001B3D5D"/>
        </w:tc>
        <w:tc>
          <w:tcPr>
            <w:tcW w:w="283" w:type="dxa"/>
            <w:tcBorders>
              <w:left w:val="nil"/>
            </w:tcBorders>
          </w:tcPr>
          <w:p w:rsidR="001B3D5D" w:rsidRDefault="001B3D5D"/>
        </w:tc>
        <w:tc>
          <w:tcPr>
            <w:tcW w:w="6379" w:type="dxa"/>
          </w:tcPr>
          <w:p w:rsidR="001B3D5D" w:rsidRDefault="004D5502">
            <w:pPr>
              <w:pStyle w:val="CoverPageAnnexure"/>
            </w:pPr>
            <w:r>
              <w:t>Annexure B</w:t>
            </w:r>
          </w:p>
        </w:tc>
      </w:tr>
      <w:tr w:rsidR="001B3D5D">
        <w:trPr>
          <w:cantSplit/>
        </w:trPr>
        <w:tc>
          <w:tcPr>
            <w:tcW w:w="2552" w:type="dxa"/>
            <w:tcBorders>
              <w:right w:val="single" w:sz="18" w:space="0" w:color="auto"/>
            </w:tcBorders>
          </w:tcPr>
          <w:p w:rsidR="001B3D5D" w:rsidRDefault="001B3D5D"/>
        </w:tc>
        <w:tc>
          <w:tcPr>
            <w:tcW w:w="283" w:type="dxa"/>
            <w:tcBorders>
              <w:left w:val="nil"/>
            </w:tcBorders>
          </w:tcPr>
          <w:p w:rsidR="001B3D5D" w:rsidRDefault="001B3D5D"/>
        </w:tc>
        <w:tc>
          <w:tcPr>
            <w:tcW w:w="6379" w:type="dxa"/>
          </w:tcPr>
          <w:p w:rsidR="001B3D5D" w:rsidRDefault="004D5502">
            <w:pPr>
              <w:pStyle w:val="CoverPageDetails"/>
            </w:pPr>
            <w:r>
              <w:t xml:space="preserve">Parking Area Plan  </w:t>
            </w:r>
          </w:p>
        </w:tc>
      </w:tr>
      <w:tr w:rsidR="001B3D5D">
        <w:trPr>
          <w:cantSplit/>
          <w:trHeight w:hRule="exact" w:val="240"/>
        </w:trPr>
        <w:tc>
          <w:tcPr>
            <w:tcW w:w="2552" w:type="dxa"/>
            <w:tcBorders>
              <w:right w:val="single" w:sz="18" w:space="0" w:color="auto"/>
            </w:tcBorders>
          </w:tcPr>
          <w:p w:rsidR="001B3D5D" w:rsidRDefault="001B3D5D"/>
        </w:tc>
        <w:tc>
          <w:tcPr>
            <w:tcW w:w="283" w:type="dxa"/>
            <w:tcBorders>
              <w:left w:val="nil"/>
            </w:tcBorders>
          </w:tcPr>
          <w:p w:rsidR="001B3D5D" w:rsidRDefault="001B3D5D"/>
        </w:tc>
        <w:tc>
          <w:tcPr>
            <w:tcW w:w="6379" w:type="dxa"/>
            <w:tcBorders>
              <w:top w:val="single" w:sz="4" w:space="0" w:color="auto"/>
            </w:tcBorders>
          </w:tcPr>
          <w:p w:rsidR="001B3D5D" w:rsidRDefault="001B3D5D"/>
        </w:tc>
      </w:tr>
      <w:tr w:rsidR="001B3D5D">
        <w:trPr>
          <w:cantSplit/>
        </w:trPr>
        <w:tc>
          <w:tcPr>
            <w:tcW w:w="2552" w:type="dxa"/>
            <w:tcBorders>
              <w:right w:val="single" w:sz="18" w:space="0" w:color="auto"/>
            </w:tcBorders>
          </w:tcPr>
          <w:p w:rsidR="001B3D5D" w:rsidRDefault="001B3D5D"/>
        </w:tc>
        <w:tc>
          <w:tcPr>
            <w:tcW w:w="283" w:type="dxa"/>
            <w:tcBorders>
              <w:left w:val="nil"/>
            </w:tcBorders>
          </w:tcPr>
          <w:p w:rsidR="001B3D5D" w:rsidRDefault="001B3D5D"/>
        </w:tc>
        <w:tc>
          <w:tcPr>
            <w:tcW w:w="6379" w:type="dxa"/>
          </w:tcPr>
          <w:p w:rsidR="001B3D5D" w:rsidRDefault="004D5502">
            <w:pPr>
              <w:pStyle w:val="CoverPageNames"/>
            </w:pPr>
            <w:r>
              <w:t>Annexure to Part A Warehouse Lease</w:t>
            </w:r>
          </w:p>
        </w:tc>
      </w:tr>
    </w:tbl>
    <w:p w:rsidR="001B3D5D" w:rsidRDefault="001B3D5D">
      <w:pPr>
        <w:pStyle w:val="DefinitionL1"/>
        <w:sectPr w:rsidR="001B3D5D">
          <w:footerReference w:type="default" r:id="rId20"/>
          <w:pgSz w:w="11907" w:h="16840" w:code="9"/>
          <w:pgMar w:top="1134" w:right="1134" w:bottom="1134" w:left="1418" w:header="567" w:footer="567" w:gutter="0"/>
          <w:cols w:space="720"/>
          <w:docGrid w:linePitch="299"/>
        </w:sectPr>
      </w:pPr>
    </w:p>
    <w:p w:rsidR="001B3D5D" w:rsidRDefault="004D5502">
      <w:pPr>
        <w:pStyle w:val="DefinitionL1"/>
        <w:numPr>
          <w:ilvl w:val="0"/>
          <w:numId w:val="0"/>
        </w:numPr>
        <w:sectPr w:rsidR="001B3D5D">
          <w:pgSz w:w="11907" w:h="16840" w:code="9"/>
          <w:pgMar w:top="1134" w:right="1134" w:bottom="1134" w:left="1418" w:header="567" w:footer="567" w:gutter="0"/>
          <w:cols w:space="720"/>
          <w:docGrid w:linePitch="299"/>
        </w:sectPr>
      </w:pPr>
      <w:r>
        <w:rPr>
          <w:noProof/>
          <w:lang w:eastAsia="en-AU" w:bidi="ar-SA"/>
        </w:rPr>
        <w:lastRenderedPageBreak/>
        <w:drawing>
          <wp:anchor distT="0" distB="0" distL="114300" distR="114300" simplePos="0" relativeHeight="251659264" behindDoc="0" locked="0" layoutInCell="1" allowOverlap="1" wp14:anchorId="4F56F11F" wp14:editId="556D1265">
            <wp:simplePos x="0" y="0"/>
            <wp:positionH relativeFrom="column">
              <wp:posOffset>-1919605</wp:posOffset>
            </wp:positionH>
            <wp:positionV relativeFrom="paragraph">
              <wp:posOffset>1127761</wp:posOffset>
            </wp:positionV>
            <wp:extent cx="9696450" cy="7282815"/>
            <wp:effectExtent l="0" t="1200150" r="0" b="119443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rot="16200000">
                      <a:off x="0" y="0"/>
                      <a:ext cx="9696450" cy="7282815"/>
                    </a:xfrm>
                    <a:prstGeom prst="rect">
                      <a:avLst/>
                    </a:prstGeom>
                    <a:noFill/>
                    <a:ln w="9525">
                      <a:noFill/>
                      <a:miter lim="800000"/>
                      <a:headEnd/>
                      <a:tailEnd/>
                    </a:ln>
                  </pic:spPr>
                </pic:pic>
              </a:graphicData>
            </a:graphic>
          </wp:anchor>
        </w:drawing>
      </w:r>
    </w:p>
    <w:p w:rsidR="001B3D5D" w:rsidRDefault="001B3D5D">
      <w:pPr>
        <w:pStyle w:val="NoSpacing"/>
        <w:spacing w:line="40" w:lineRule="exact"/>
      </w:pPr>
    </w:p>
    <w:tbl>
      <w:tblPr>
        <w:tblW w:w="0" w:type="auto"/>
        <w:tblLayout w:type="fixed"/>
        <w:tblCellMar>
          <w:left w:w="0" w:type="dxa"/>
          <w:right w:w="0" w:type="dxa"/>
        </w:tblCellMar>
        <w:tblLook w:val="0000" w:firstRow="0" w:lastRow="0" w:firstColumn="0" w:lastColumn="0" w:noHBand="0" w:noVBand="0"/>
      </w:tblPr>
      <w:tblGrid>
        <w:gridCol w:w="2552"/>
        <w:gridCol w:w="283"/>
        <w:gridCol w:w="6379"/>
      </w:tblGrid>
      <w:tr w:rsidR="001B3D5D">
        <w:trPr>
          <w:cantSplit/>
          <w:trHeight w:hRule="exact" w:val="2400"/>
        </w:trPr>
        <w:tc>
          <w:tcPr>
            <w:tcW w:w="2552" w:type="dxa"/>
            <w:vAlign w:val="center"/>
          </w:tcPr>
          <w:p w:rsidR="001B3D5D" w:rsidRDefault="001B3D5D">
            <w:pPr>
              <w:pStyle w:val="DraftText"/>
            </w:pPr>
          </w:p>
        </w:tc>
        <w:tc>
          <w:tcPr>
            <w:tcW w:w="283" w:type="dxa"/>
          </w:tcPr>
          <w:p w:rsidR="001B3D5D" w:rsidRDefault="001B3D5D"/>
        </w:tc>
        <w:tc>
          <w:tcPr>
            <w:tcW w:w="6379" w:type="dxa"/>
            <w:vAlign w:val="center"/>
          </w:tcPr>
          <w:p w:rsidR="001B3D5D" w:rsidRDefault="001B3D5D"/>
        </w:tc>
      </w:tr>
      <w:tr w:rsidR="001B3D5D">
        <w:trPr>
          <w:cantSplit/>
        </w:trPr>
        <w:tc>
          <w:tcPr>
            <w:tcW w:w="2552" w:type="dxa"/>
            <w:tcBorders>
              <w:right w:val="single" w:sz="18" w:space="0" w:color="auto"/>
            </w:tcBorders>
          </w:tcPr>
          <w:p w:rsidR="001B3D5D" w:rsidRDefault="001B3D5D"/>
        </w:tc>
        <w:tc>
          <w:tcPr>
            <w:tcW w:w="283" w:type="dxa"/>
            <w:tcBorders>
              <w:left w:val="nil"/>
            </w:tcBorders>
          </w:tcPr>
          <w:p w:rsidR="001B3D5D" w:rsidRDefault="001B3D5D"/>
        </w:tc>
        <w:tc>
          <w:tcPr>
            <w:tcW w:w="6379" w:type="dxa"/>
          </w:tcPr>
          <w:p w:rsidR="001B3D5D" w:rsidRDefault="004D5502">
            <w:pPr>
              <w:pStyle w:val="CoverPageAnnexure"/>
            </w:pPr>
            <w:r>
              <w:t>Annexure C</w:t>
            </w:r>
          </w:p>
        </w:tc>
      </w:tr>
      <w:tr w:rsidR="001B3D5D">
        <w:trPr>
          <w:cantSplit/>
        </w:trPr>
        <w:tc>
          <w:tcPr>
            <w:tcW w:w="2552" w:type="dxa"/>
            <w:tcBorders>
              <w:right w:val="single" w:sz="18" w:space="0" w:color="auto"/>
            </w:tcBorders>
          </w:tcPr>
          <w:p w:rsidR="001B3D5D" w:rsidRDefault="001B3D5D"/>
        </w:tc>
        <w:tc>
          <w:tcPr>
            <w:tcW w:w="283" w:type="dxa"/>
            <w:tcBorders>
              <w:left w:val="nil"/>
            </w:tcBorders>
          </w:tcPr>
          <w:p w:rsidR="001B3D5D" w:rsidRDefault="001B3D5D"/>
        </w:tc>
        <w:tc>
          <w:tcPr>
            <w:tcW w:w="6379" w:type="dxa"/>
          </w:tcPr>
          <w:p w:rsidR="001B3D5D" w:rsidRDefault="004D5502">
            <w:pPr>
              <w:pStyle w:val="CoverPageDetails"/>
            </w:pPr>
            <w:r>
              <w:t>Warehouse Land</w:t>
            </w:r>
          </w:p>
        </w:tc>
      </w:tr>
      <w:tr w:rsidR="001B3D5D">
        <w:trPr>
          <w:cantSplit/>
          <w:trHeight w:hRule="exact" w:val="240"/>
        </w:trPr>
        <w:tc>
          <w:tcPr>
            <w:tcW w:w="2552" w:type="dxa"/>
            <w:tcBorders>
              <w:right w:val="single" w:sz="18" w:space="0" w:color="auto"/>
            </w:tcBorders>
          </w:tcPr>
          <w:p w:rsidR="001B3D5D" w:rsidRDefault="001B3D5D"/>
        </w:tc>
        <w:tc>
          <w:tcPr>
            <w:tcW w:w="283" w:type="dxa"/>
            <w:tcBorders>
              <w:left w:val="nil"/>
            </w:tcBorders>
          </w:tcPr>
          <w:p w:rsidR="001B3D5D" w:rsidRDefault="001B3D5D"/>
        </w:tc>
        <w:tc>
          <w:tcPr>
            <w:tcW w:w="6379" w:type="dxa"/>
            <w:tcBorders>
              <w:top w:val="single" w:sz="4" w:space="0" w:color="auto"/>
            </w:tcBorders>
          </w:tcPr>
          <w:p w:rsidR="001B3D5D" w:rsidRDefault="001B3D5D"/>
        </w:tc>
      </w:tr>
      <w:tr w:rsidR="001B3D5D">
        <w:trPr>
          <w:cantSplit/>
        </w:trPr>
        <w:tc>
          <w:tcPr>
            <w:tcW w:w="2552" w:type="dxa"/>
            <w:tcBorders>
              <w:right w:val="single" w:sz="18" w:space="0" w:color="auto"/>
            </w:tcBorders>
          </w:tcPr>
          <w:p w:rsidR="001B3D5D" w:rsidRDefault="001B3D5D"/>
        </w:tc>
        <w:tc>
          <w:tcPr>
            <w:tcW w:w="283" w:type="dxa"/>
            <w:tcBorders>
              <w:left w:val="nil"/>
            </w:tcBorders>
          </w:tcPr>
          <w:p w:rsidR="001B3D5D" w:rsidRDefault="001B3D5D"/>
        </w:tc>
        <w:tc>
          <w:tcPr>
            <w:tcW w:w="6379" w:type="dxa"/>
          </w:tcPr>
          <w:p w:rsidR="001B3D5D" w:rsidRDefault="004D5502">
            <w:pPr>
              <w:pStyle w:val="CoverPageNames"/>
            </w:pPr>
            <w:r>
              <w:t>Annexure to Part A Warehouse Lease</w:t>
            </w:r>
            <w:bookmarkStart w:id="840" w:name="bkTransactionID"/>
            <w:bookmarkEnd w:id="840"/>
            <w:r>
              <w:t xml:space="preserve"> </w:t>
            </w:r>
          </w:p>
        </w:tc>
      </w:tr>
    </w:tbl>
    <w:p w:rsidR="001B3D5D" w:rsidRDefault="001B3D5D">
      <w:pPr>
        <w:pStyle w:val="DefinitionL1"/>
        <w:numPr>
          <w:ilvl w:val="0"/>
          <w:numId w:val="0"/>
        </w:numPr>
      </w:pPr>
    </w:p>
    <w:p w:rsidR="001B3D5D" w:rsidRDefault="001B3D5D">
      <w:pPr>
        <w:pStyle w:val="DefinitionL1"/>
        <w:numPr>
          <w:ilvl w:val="0"/>
          <w:numId w:val="0"/>
        </w:numPr>
      </w:pPr>
    </w:p>
    <w:p w:rsidR="001B3D5D" w:rsidRDefault="001B3D5D">
      <w:pPr>
        <w:pStyle w:val="DefinitionL1"/>
        <w:numPr>
          <w:ilvl w:val="0"/>
          <w:numId w:val="0"/>
        </w:numPr>
      </w:pPr>
    </w:p>
    <w:p w:rsidR="001B3D5D" w:rsidRDefault="001B3D5D">
      <w:pPr>
        <w:pStyle w:val="DefinitionL1"/>
        <w:numPr>
          <w:ilvl w:val="0"/>
          <w:numId w:val="0"/>
        </w:numPr>
      </w:pPr>
    </w:p>
    <w:p w:rsidR="001B3D5D" w:rsidRDefault="001B3D5D">
      <w:pPr>
        <w:pStyle w:val="DefinitionL1"/>
        <w:numPr>
          <w:ilvl w:val="0"/>
          <w:numId w:val="0"/>
        </w:numPr>
      </w:pPr>
    </w:p>
    <w:p w:rsidR="001B3D5D" w:rsidRDefault="001B3D5D">
      <w:pPr>
        <w:pStyle w:val="DefinitionL1"/>
        <w:numPr>
          <w:ilvl w:val="0"/>
          <w:numId w:val="0"/>
        </w:numPr>
      </w:pPr>
    </w:p>
    <w:p w:rsidR="001B3D5D" w:rsidRDefault="001B3D5D">
      <w:pPr>
        <w:pStyle w:val="DefinitionL1"/>
        <w:numPr>
          <w:ilvl w:val="0"/>
          <w:numId w:val="0"/>
        </w:numPr>
      </w:pPr>
    </w:p>
    <w:p w:rsidR="001B3D5D" w:rsidRDefault="001B3D5D">
      <w:pPr>
        <w:pStyle w:val="DefinitionL1"/>
        <w:numPr>
          <w:ilvl w:val="0"/>
          <w:numId w:val="0"/>
        </w:numPr>
      </w:pPr>
    </w:p>
    <w:p w:rsidR="001B3D5D" w:rsidRDefault="001B3D5D">
      <w:pPr>
        <w:pStyle w:val="DefinitionL1"/>
        <w:numPr>
          <w:ilvl w:val="0"/>
          <w:numId w:val="0"/>
        </w:numPr>
      </w:pPr>
    </w:p>
    <w:p w:rsidR="001B3D5D" w:rsidRDefault="001B3D5D">
      <w:pPr>
        <w:pStyle w:val="DefinitionL1"/>
        <w:numPr>
          <w:ilvl w:val="0"/>
          <w:numId w:val="0"/>
        </w:numPr>
      </w:pPr>
    </w:p>
    <w:p w:rsidR="001B3D5D" w:rsidRDefault="001B3D5D">
      <w:pPr>
        <w:pStyle w:val="DefinitionL1"/>
        <w:numPr>
          <w:ilvl w:val="0"/>
          <w:numId w:val="0"/>
        </w:numPr>
      </w:pPr>
    </w:p>
    <w:p w:rsidR="001B3D5D" w:rsidRDefault="001B3D5D">
      <w:pPr>
        <w:pStyle w:val="DefinitionL1"/>
        <w:numPr>
          <w:ilvl w:val="0"/>
          <w:numId w:val="0"/>
        </w:numPr>
      </w:pPr>
    </w:p>
    <w:p w:rsidR="001B3D5D" w:rsidRDefault="001B3D5D">
      <w:pPr>
        <w:pStyle w:val="DefinitionL1"/>
        <w:numPr>
          <w:ilvl w:val="0"/>
          <w:numId w:val="0"/>
        </w:numPr>
      </w:pPr>
    </w:p>
    <w:p w:rsidR="001B3D5D" w:rsidRDefault="001B3D5D">
      <w:pPr>
        <w:pStyle w:val="DefinitionL1"/>
        <w:numPr>
          <w:ilvl w:val="0"/>
          <w:numId w:val="0"/>
        </w:numPr>
      </w:pPr>
    </w:p>
    <w:p w:rsidR="001B3D5D" w:rsidRDefault="001B3D5D">
      <w:pPr>
        <w:pStyle w:val="DefinitionL1"/>
        <w:numPr>
          <w:ilvl w:val="0"/>
          <w:numId w:val="0"/>
        </w:numPr>
      </w:pPr>
    </w:p>
    <w:p w:rsidR="001B3D5D" w:rsidRDefault="001B3D5D">
      <w:pPr>
        <w:pStyle w:val="DefinitionL1"/>
        <w:numPr>
          <w:ilvl w:val="0"/>
          <w:numId w:val="0"/>
        </w:numPr>
      </w:pPr>
    </w:p>
    <w:p w:rsidR="001B3D5D" w:rsidRDefault="001B3D5D">
      <w:pPr>
        <w:pStyle w:val="DefinitionL1"/>
        <w:numPr>
          <w:ilvl w:val="0"/>
          <w:numId w:val="0"/>
        </w:numPr>
      </w:pPr>
    </w:p>
    <w:p w:rsidR="001B3D5D" w:rsidRDefault="001B3D5D">
      <w:pPr>
        <w:pStyle w:val="DefinitionL1"/>
        <w:numPr>
          <w:ilvl w:val="0"/>
          <w:numId w:val="0"/>
        </w:numPr>
      </w:pPr>
    </w:p>
    <w:p w:rsidR="001B3D5D" w:rsidRDefault="001B3D5D">
      <w:pPr>
        <w:pStyle w:val="DefinitionL1"/>
        <w:numPr>
          <w:ilvl w:val="0"/>
          <w:numId w:val="0"/>
        </w:numPr>
      </w:pPr>
    </w:p>
    <w:p w:rsidR="001B3D5D" w:rsidRDefault="001B3D5D">
      <w:pPr>
        <w:pStyle w:val="DefinitionL1"/>
        <w:numPr>
          <w:ilvl w:val="0"/>
          <w:numId w:val="0"/>
        </w:numPr>
      </w:pPr>
    </w:p>
    <w:p w:rsidR="001B3D5D" w:rsidRDefault="001B3D5D">
      <w:pPr>
        <w:pStyle w:val="DefinitionL1"/>
        <w:numPr>
          <w:ilvl w:val="0"/>
          <w:numId w:val="0"/>
        </w:numPr>
      </w:pPr>
    </w:p>
    <w:p w:rsidR="001B3D5D" w:rsidRDefault="001B3D5D">
      <w:pPr>
        <w:pStyle w:val="DefinitionL1"/>
        <w:numPr>
          <w:ilvl w:val="0"/>
          <w:numId w:val="0"/>
        </w:numPr>
      </w:pPr>
    </w:p>
    <w:p w:rsidR="001B3D5D" w:rsidRDefault="004D5502">
      <w:pPr>
        <w:pStyle w:val="DefinitionL1"/>
        <w:numPr>
          <w:ilvl w:val="0"/>
          <w:numId w:val="0"/>
        </w:numPr>
      </w:pPr>
      <w:r>
        <w:rPr>
          <w:noProof/>
          <w:lang w:eastAsia="en-AU" w:bidi="ar-SA"/>
        </w:rPr>
        <w:drawing>
          <wp:anchor distT="0" distB="0" distL="114300" distR="114300" simplePos="0" relativeHeight="251661312" behindDoc="0" locked="0" layoutInCell="1" allowOverlap="1" wp14:anchorId="31CAB8EF" wp14:editId="49257EB1">
            <wp:simplePos x="0" y="0"/>
            <wp:positionH relativeFrom="column">
              <wp:posOffset>-1891030</wp:posOffset>
            </wp:positionH>
            <wp:positionV relativeFrom="paragraph">
              <wp:posOffset>861060</wp:posOffset>
            </wp:positionV>
            <wp:extent cx="9505950" cy="7340600"/>
            <wp:effectExtent l="0" t="1085850" r="0" b="106045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rot="16200000">
                      <a:off x="0" y="0"/>
                      <a:ext cx="9505950" cy="7340600"/>
                    </a:xfrm>
                    <a:prstGeom prst="rect">
                      <a:avLst/>
                    </a:prstGeom>
                    <a:noFill/>
                    <a:ln w="9525">
                      <a:noFill/>
                      <a:miter lim="800000"/>
                      <a:headEnd/>
                      <a:tailEnd/>
                    </a:ln>
                  </pic:spPr>
                </pic:pic>
              </a:graphicData>
            </a:graphic>
          </wp:anchor>
        </w:drawing>
      </w:r>
    </w:p>
    <w:p w:rsidR="001B3D5D" w:rsidRDefault="001B3D5D">
      <w:pPr>
        <w:pStyle w:val="DefinitionL1"/>
        <w:numPr>
          <w:ilvl w:val="0"/>
          <w:numId w:val="0"/>
        </w:numPr>
        <w:sectPr w:rsidR="001B3D5D">
          <w:footerReference w:type="default" r:id="rId23"/>
          <w:pgSz w:w="11907" w:h="16840" w:code="9"/>
          <w:pgMar w:top="1134" w:right="1134" w:bottom="1134" w:left="1418" w:header="567" w:footer="567" w:gutter="0"/>
          <w:cols w:space="720"/>
          <w:docGrid w:linePitch="299"/>
        </w:sectPr>
      </w:pPr>
    </w:p>
    <w:p w:rsidR="001B3D5D" w:rsidRDefault="004D5502">
      <w:pPr>
        <w:sectPr w:rsidR="001B3D5D">
          <w:footerReference w:type="default" r:id="rId24"/>
          <w:pgSz w:w="11907" w:h="16840" w:code="9"/>
          <w:pgMar w:top="1134" w:right="1134" w:bottom="1134" w:left="1418" w:header="567" w:footer="567" w:gutter="0"/>
          <w:cols w:space="720"/>
          <w:docGrid w:linePitch="299"/>
        </w:sectPr>
      </w:pPr>
      <w:r>
        <w:rPr>
          <w:noProof/>
          <w:lang w:eastAsia="en-AU" w:bidi="ar-SA"/>
        </w:rPr>
        <w:lastRenderedPageBreak/>
        <w:drawing>
          <wp:anchor distT="0" distB="0" distL="114300" distR="114300" simplePos="0" relativeHeight="251665408" behindDoc="0" locked="0" layoutInCell="1" allowOverlap="1" wp14:anchorId="2A79CB02" wp14:editId="1D6DCA38">
            <wp:simplePos x="0" y="0"/>
            <wp:positionH relativeFrom="column">
              <wp:posOffset>-2099838</wp:posOffset>
            </wp:positionH>
            <wp:positionV relativeFrom="paragraph">
              <wp:posOffset>853391</wp:posOffset>
            </wp:positionV>
            <wp:extent cx="9868395" cy="7130654"/>
            <wp:effectExtent l="0" t="1371600" r="0" b="13423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rot="16200000">
                      <a:off x="0" y="0"/>
                      <a:ext cx="9862820" cy="7134860"/>
                    </a:xfrm>
                    <a:prstGeom prst="rect">
                      <a:avLst/>
                    </a:prstGeom>
                    <a:noFill/>
                    <a:ln w="9525">
                      <a:noFill/>
                      <a:miter lim="800000"/>
                      <a:headEnd/>
                      <a:tailEnd/>
                    </a:ln>
                  </pic:spPr>
                </pic:pic>
              </a:graphicData>
            </a:graphic>
          </wp:anchor>
        </w:drawing>
      </w:r>
    </w:p>
    <w:p w:rsidR="001B3D5D" w:rsidRDefault="001B3D5D"/>
    <w:tbl>
      <w:tblPr>
        <w:tblW w:w="0" w:type="auto"/>
        <w:tblLayout w:type="fixed"/>
        <w:tblCellMar>
          <w:left w:w="0" w:type="dxa"/>
          <w:right w:w="0" w:type="dxa"/>
        </w:tblCellMar>
        <w:tblLook w:val="0000" w:firstRow="0" w:lastRow="0" w:firstColumn="0" w:lastColumn="0" w:noHBand="0" w:noVBand="0"/>
      </w:tblPr>
      <w:tblGrid>
        <w:gridCol w:w="2552"/>
        <w:gridCol w:w="283"/>
        <w:gridCol w:w="6379"/>
      </w:tblGrid>
      <w:tr w:rsidR="001B3D5D">
        <w:trPr>
          <w:cantSplit/>
          <w:trHeight w:hRule="exact" w:val="2400"/>
        </w:trPr>
        <w:tc>
          <w:tcPr>
            <w:tcW w:w="2552" w:type="dxa"/>
            <w:vAlign w:val="center"/>
          </w:tcPr>
          <w:p w:rsidR="001B3D5D" w:rsidRDefault="001B3D5D">
            <w:pPr>
              <w:pStyle w:val="DraftText"/>
            </w:pPr>
          </w:p>
          <w:p w:rsidR="001B3D5D" w:rsidRDefault="001B3D5D">
            <w:pPr>
              <w:pStyle w:val="DraftText"/>
            </w:pPr>
          </w:p>
          <w:p w:rsidR="001B3D5D" w:rsidRDefault="001B3D5D">
            <w:pPr>
              <w:pStyle w:val="DraftText"/>
            </w:pPr>
          </w:p>
          <w:p w:rsidR="001B3D5D" w:rsidRDefault="001B3D5D">
            <w:pPr>
              <w:pStyle w:val="DraftText"/>
            </w:pPr>
          </w:p>
          <w:p w:rsidR="001B3D5D" w:rsidRDefault="001B3D5D">
            <w:pPr>
              <w:pStyle w:val="DraftText"/>
            </w:pPr>
          </w:p>
          <w:p w:rsidR="001B3D5D" w:rsidRDefault="001B3D5D">
            <w:pPr>
              <w:pStyle w:val="DraftText"/>
            </w:pPr>
          </w:p>
          <w:p w:rsidR="001B3D5D" w:rsidRDefault="001B3D5D">
            <w:pPr>
              <w:pStyle w:val="DraftText"/>
            </w:pPr>
          </w:p>
          <w:p w:rsidR="001B3D5D" w:rsidRDefault="001B3D5D">
            <w:pPr>
              <w:pStyle w:val="DraftText"/>
            </w:pPr>
          </w:p>
        </w:tc>
        <w:tc>
          <w:tcPr>
            <w:tcW w:w="283" w:type="dxa"/>
          </w:tcPr>
          <w:p w:rsidR="001B3D5D" w:rsidRDefault="001B3D5D"/>
        </w:tc>
        <w:tc>
          <w:tcPr>
            <w:tcW w:w="6379" w:type="dxa"/>
            <w:vAlign w:val="center"/>
          </w:tcPr>
          <w:p w:rsidR="001B3D5D" w:rsidRDefault="001B3D5D"/>
        </w:tc>
      </w:tr>
      <w:tr w:rsidR="001B3D5D">
        <w:trPr>
          <w:cantSplit/>
        </w:trPr>
        <w:tc>
          <w:tcPr>
            <w:tcW w:w="2552" w:type="dxa"/>
            <w:tcBorders>
              <w:right w:val="single" w:sz="18" w:space="0" w:color="auto"/>
            </w:tcBorders>
          </w:tcPr>
          <w:p w:rsidR="001B3D5D" w:rsidRDefault="001B3D5D"/>
        </w:tc>
        <w:tc>
          <w:tcPr>
            <w:tcW w:w="283" w:type="dxa"/>
            <w:tcBorders>
              <w:left w:val="nil"/>
            </w:tcBorders>
          </w:tcPr>
          <w:p w:rsidR="001B3D5D" w:rsidRDefault="001B3D5D"/>
        </w:tc>
        <w:tc>
          <w:tcPr>
            <w:tcW w:w="6379" w:type="dxa"/>
          </w:tcPr>
          <w:p w:rsidR="001B3D5D" w:rsidRDefault="004D5502">
            <w:pPr>
              <w:pStyle w:val="CoverPageAnnexure"/>
            </w:pPr>
            <w:r>
              <w:t>Annexure D</w:t>
            </w:r>
          </w:p>
        </w:tc>
      </w:tr>
      <w:tr w:rsidR="001B3D5D">
        <w:trPr>
          <w:cantSplit/>
        </w:trPr>
        <w:tc>
          <w:tcPr>
            <w:tcW w:w="2552" w:type="dxa"/>
            <w:tcBorders>
              <w:right w:val="single" w:sz="18" w:space="0" w:color="auto"/>
            </w:tcBorders>
          </w:tcPr>
          <w:p w:rsidR="001B3D5D" w:rsidRDefault="001B3D5D"/>
        </w:tc>
        <w:tc>
          <w:tcPr>
            <w:tcW w:w="283" w:type="dxa"/>
            <w:tcBorders>
              <w:left w:val="nil"/>
            </w:tcBorders>
          </w:tcPr>
          <w:p w:rsidR="001B3D5D" w:rsidRDefault="001B3D5D"/>
        </w:tc>
        <w:tc>
          <w:tcPr>
            <w:tcW w:w="6379" w:type="dxa"/>
          </w:tcPr>
          <w:p w:rsidR="001B3D5D" w:rsidRDefault="004D5502">
            <w:pPr>
              <w:pStyle w:val="CoverPageDetails"/>
            </w:pPr>
            <w:r>
              <w:t>Market Land</w:t>
            </w:r>
          </w:p>
        </w:tc>
      </w:tr>
      <w:tr w:rsidR="001B3D5D">
        <w:trPr>
          <w:cantSplit/>
          <w:trHeight w:hRule="exact" w:val="240"/>
        </w:trPr>
        <w:tc>
          <w:tcPr>
            <w:tcW w:w="2552" w:type="dxa"/>
            <w:tcBorders>
              <w:right w:val="single" w:sz="18" w:space="0" w:color="auto"/>
            </w:tcBorders>
          </w:tcPr>
          <w:p w:rsidR="001B3D5D" w:rsidRDefault="001B3D5D"/>
        </w:tc>
        <w:tc>
          <w:tcPr>
            <w:tcW w:w="283" w:type="dxa"/>
            <w:tcBorders>
              <w:left w:val="nil"/>
            </w:tcBorders>
          </w:tcPr>
          <w:p w:rsidR="001B3D5D" w:rsidRDefault="001B3D5D"/>
        </w:tc>
        <w:tc>
          <w:tcPr>
            <w:tcW w:w="6379" w:type="dxa"/>
            <w:tcBorders>
              <w:top w:val="single" w:sz="4" w:space="0" w:color="auto"/>
            </w:tcBorders>
          </w:tcPr>
          <w:p w:rsidR="001B3D5D" w:rsidRDefault="001B3D5D"/>
        </w:tc>
      </w:tr>
      <w:tr w:rsidR="001B3D5D">
        <w:trPr>
          <w:cantSplit/>
        </w:trPr>
        <w:tc>
          <w:tcPr>
            <w:tcW w:w="2552" w:type="dxa"/>
            <w:tcBorders>
              <w:right w:val="single" w:sz="18" w:space="0" w:color="auto"/>
            </w:tcBorders>
          </w:tcPr>
          <w:p w:rsidR="001B3D5D" w:rsidRDefault="001B3D5D"/>
        </w:tc>
        <w:tc>
          <w:tcPr>
            <w:tcW w:w="283" w:type="dxa"/>
            <w:tcBorders>
              <w:left w:val="nil"/>
            </w:tcBorders>
          </w:tcPr>
          <w:p w:rsidR="001B3D5D" w:rsidRDefault="001B3D5D"/>
        </w:tc>
        <w:tc>
          <w:tcPr>
            <w:tcW w:w="6379" w:type="dxa"/>
          </w:tcPr>
          <w:p w:rsidR="001B3D5D" w:rsidRDefault="004D5502">
            <w:pPr>
              <w:pStyle w:val="CoverPageNames"/>
            </w:pPr>
            <w:r>
              <w:t>Annexure to Part A Warehouse Lease</w:t>
            </w:r>
          </w:p>
        </w:tc>
      </w:tr>
    </w:tbl>
    <w:p w:rsidR="001B3D5D" w:rsidRDefault="001B3D5D">
      <w:pPr>
        <w:pStyle w:val="DefinitionL1"/>
      </w:pPr>
    </w:p>
    <w:p w:rsidR="001B3D5D" w:rsidRDefault="001B3D5D">
      <w:pPr>
        <w:sectPr w:rsidR="001B3D5D">
          <w:footerReference w:type="default" r:id="rId26"/>
          <w:pgSz w:w="11907" w:h="16840" w:code="9"/>
          <w:pgMar w:top="1134" w:right="1134" w:bottom="1134" w:left="1418" w:header="567" w:footer="567" w:gutter="0"/>
          <w:cols w:space="720"/>
          <w:docGrid w:linePitch="299"/>
        </w:sectPr>
      </w:pPr>
    </w:p>
    <w:p w:rsidR="001B3D5D" w:rsidRDefault="004D5502">
      <w:pPr>
        <w:sectPr w:rsidR="001B3D5D">
          <w:footerReference w:type="default" r:id="rId27"/>
          <w:pgSz w:w="11907" w:h="16840" w:code="9"/>
          <w:pgMar w:top="1134" w:right="1134" w:bottom="1134" w:left="1418" w:header="567" w:footer="567" w:gutter="0"/>
          <w:cols w:space="720"/>
          <w:docGrid w:linePitch="299"/>
        </w:sectPr>
      </w:pPr>
      <w:r>
        <w:rPr>
          <w:noProof/>
          <w:lang w:eastAsia="en-AU" w:bidi="ar-SA"/>
        </w:rPr>
        <w:lastRenderedPageBreak/>
        <w:drawing>
          <wp:inline distT="0" distB="0" distL="0" distR="0" wp14:anchorId="0EB8FEE0" wp14:editId="6A1697A9">
            <wp:extent cx="5935980" cy="8387080"/>
            <wp:effectExtent l="19050" t="0" r="762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935980" cy="8387080"/>
                    </a:xfrm>
                    <a:prstGeom prst="rect">
                      <a:avLst/>
                    </a:prstGeom>
                    <a:noFill/>
                    <a:ln w="9525">
                      <a:noFill/>
                      <a:miter lim="800000"/>
                      <a:headEnd/>
                      <a:tailEnd/>
                    </a:ln>
                  </pic:spPr>
                </pic:pic>
              </a:graphicData>
            </a:graphic>
          </wp:inline>
        </w:drawing>
      </w:r>
    </w:p>
    <w:p w:rsidR="001B3D5D" w:rsidRDefault="001B3D5D">
      <w:pPr>
        <w:pStyle w:val="NoSpacing"/>
        <w:spacing w:line="40" w:lineRule="exact"/>
      </w:pPr>
    </w:p>
    <w:tbl>
      <w:tblPr>
        <w:tblW w:w="0" w:type="auto"/>
        <w:tblLayout w:type="fixed"/>
        <w:tblCellMar>
          <w:left w:w="0" w:type="dxa"/>
          <w:right w:w="0" w:type="dxa"/>
        </w:tblCellMar>
        <w:tblLook w:val="0000" w:firstRow="0" w:lastRow="0" w:firstColumn="0" w:lastColumn="0" w:noHBand="0" w:noVBand="0"/>
      </w:tblPr>
      <w:tblGrid>
        <w:gridCol w:w="2552"/>
        <w:gridCol w:w="283"/>
        <w:gridCol w:w="6379"/>
      </w:tblGrid>
      <w:tr w:rsidR="001B3D5D">
        <w:trPr>
          <w:cantSplit/>
          <w:trHeight w:hRule="exact" w:val="2400"/>
        </w:trPr>
        <w:tc>
          <w:tcPr>
            <w:tcW w:w="2552" w:type="dxa"/>
            <w:vAlign w:val="center"/>
          </w:tcPr>
          <w:p w:rsidR="001B3D5D" w:rsidRDefault="001B3D5D">
            <w:pPr>
              <w:pStyle w:val="DraftText"/>
            </w:pPr>
          </w:p>
        </w:tc>
        <w:tc>
          <w:tcPr>
            <w:tcW w:w="283" w:type="dxa"/>
          </w:tcPr>
          <w:p w:rsidR="001B3D5D" w:rsidRDefault="001B3D5D"/>
        </w:tc>
        <w:tc>
          <w:tcPr>
            <w:tcW w:w="6379" w:type="dxa"/>
            <w:vAlign w:val="center"/>
          </w:tcPr>
          <w:p w:rsidR="001B3D5D" w:rsidRDefault="001B3D5D"/>
        </w:tc>
      </w:tr>
      <w:tr w:rsidR="001B3D5D">
        <w:trPr>
          <w:cantSplit/>
        </w:trPr>
        <w:tc>
          <w:tcPr>
            <w:tcW w:w="2552" w:type="dxa"/>
            <w:tcBorders>
              <w:right w:val="single" w:sz="18" w:space="0" w:color="auto"/>
            </w:tcBorders>
          </w:tcPr>
          <w:p w:rsidR="001B3D5D" w:rsidRDefault="001B3D5D"/>
        </w:tc>
        <w:tc>
          <w:tcPr>
            <w:tcW w:w="283" w:type="dxa"/>
            <w:tcBorders>
              <w:left w:val="nil"/>
            </w:tcBorders>
          </w:tcPr>
          <w:p w:rsidR="001B3D5D" w:rsidRDefault="001B3D5D"/>
        </w:tc>
        <w:tc>
          <w:tcPr>
            <w:tcW w:w="6379" w:type="dxa"/>
          </w:tcPr>
          <w:p w:rsidR="001B3D5D" w:rsidRDefault="004D5502">
            <w:pPr>
              <w:pStyle w:val="CoverPageAnnexure"/>
            </w:pPr>
            <w:r>
              <w:t>Annexure E</w:t>
            </w:r>
          </w:p>
        </w:tc>
      </w:tr>
      <w:tr w:rsidR="001B3D5D">
        <w:trPr>
          <w:cantSplit/>
        </w:trPr>
        <w:tc>
          <w:tcPr>
            <w:tcW w:w="2552" w:type="dxa"/>
            <w:tcBorders>
              <w:right w:val="single" w:sz="18" w:space="0" w:color="auto"/>
            </w:tcBorders>
          </w:tcPr>
          <w:p w:rsidR="001B3D5D" w:rsidRDefault="001B3D5D"/>
        </w:tc>
        <w:tc>
          <w:tcPr>
            <w:tcW w:w="283" w:type="dxa"/>
            <w:tcBorders>
              <w:left w:val="nil"/>
            </w:tcBorders>
          </w:tcPr>
          <w:p w:rsidR="001B3D5D" w:rsidRDefault="001B3D5D"/>
        </w:tc>
        <w:tc>
          <w:tcPr>
            <w:tcW w:w="6379" w:type="dxa"/>
          </w:tcPr>
          <w:p w:rsidR="001B3D5D" w:rsidRDefault="004D5502">
            <w:pPr>
              <w:pStyle w:val="CoverPageDetails"/>
            </w:pPr>
            <w:r>
              <w:t>Maximum Electricity Capacity Schedule</w:t>
            </w:r>
          </w:p>
        </w:tc>
      </w:tr>
      <w:tr w:rsidR="001B3D5D">
        <w:trPr>
          <w:cantSplit/>
          <w:trHeight w:hRule="exact" w:val="240"/>
        </w:trPr>
        <w:tc>
          <w:tcPr>
            <w:tcW w:w="2552" w:type="dxa"/>
            <w:tcBorders>
              <w:right w:val="single" w:sz="18" w:space="0" w:color="auto"/>
            </w:tcBorders>
          </w:tcPr>
          <w:p w:rsidR="001B3D5D" w:rsidRDefault="001B3D5D"/>
        </w:tc>
        <w:tc>
          <w:tcPr>
            <w:tcW w:w="283" w:type="dxa"/>
            <w:tcBorders>
              <w:left w:val="nil"/>
            </w:tcBorders>
          </w:tcPr>
          <w:p w:rsidR="001B3D5D" w:rsidRDefault="001B3D5D"/>
        </w:tc>
        <w:tc>
          <w:tcPr>
            <w:tcW w:w="6379" w:type="dxa"/>
            <w:tcBorders>
              <w:top w:val="single" w:sz="4" w:space="0" w:color="auto"/>
            </w:tcBorders>
          </w:tcPr>
          <w:p w:rsidR="001B3D5D" w:rsidRDefault="001B3D5D"/>
        </w:tc>
      </w:tr>
      <w:tr w:rsidR="001B3D5D">
        <w:trPr>
          <w:cantSplit/>
        </w:trPr>
        <w:tc>
          <w:tcPr>
            <w:tcW w:w="2552" w:type="dxa"/>
            <w:tcBorders>
              <w:right w:val="single" w:sz="18" w:space="0" w:color="auto"/>
            </w:tcBorders>
          </w:tcPr>
          <w:p w:rsidR="001B3D5D" w:rsidRDefault="001B3D5D"/>
        </w:tc>
        <w:tc>
          <w:tcPr>
            <w:tcW w:w="283" w:type="dxa"/>
            <w:tcBorders>
              <w:left w:val="nil"/>
            </w:tcBorders>
          </w:tcPr>
          <w:p w:rsidR="001B3D5D" w:rsidRDefault="001B3D5D"/>
        </w:tc>
        <w:tc>
          <w:tcPr>
            <w:tcW w:w="6379" w:type="dxa"/>
          </w:tcPr>
          <w:p w:rsidR="001B3D5D" w:rsidRDefault="004D5502">
            <w:pPr>
              <w:pStyle w:val="CoverPageNames"/>
            </w:pPr>
            <w:r>
              <w:t xml:space="preserve">Annexure to Part </w:t>
            </w:r>
            <w:r>
              <w:t>A Warehouse Lease</w:t>
            </w:r>
            <w:bookmarkStart w:id="841" w:name="bkDocumentTitle"/>
            <w:bookmarkEnd w:id="841"/>
          </w:p>
          <w:p w:rsidR="001B3D5D" w:rsidRDefault="001B3D5D">
            <w:pPr>
              <w:pStyle w:val="CoverPageNames"/>
            </w:pPr>
          </w:p>
        </w:tc>
      </w:tr>
    </w:tbl>
    <w:p w:rsidR="001B3D5D" w:rsidRDefault="001B3D5D">
      <w:pPr>
        <w:sectPr w:rsidR="001B3D5D">
          <w:footerReference w:type="default" r:id="rId29"/>
          <w:pgSz w:w="11907" w:h="16840" w:code="9"/>
          <w:pgMar w:top="1134" w:right="1134" w:bottom="1134" w:left="1418" w:header="567" w:footer="567" w:gutter="0"/>
          <w:cols w:space="720"/>
          <w:docGrid w:linePitch="299"/>
        </w:sectPr>
      </w:pPr>
    </w:p>
    <w:p w:rsidR="001B3D5D" w:rsidRDefault="004D5502">
      <w:r>
        <w:rPr>
          <w:noProof/>
          <w:lang w:eastAsia="en-AU" w:bidi="ar-SA"/>
        </w:rPr>
        <w:lastRenderedPageBreak/>
        <w:drawing>
          <wp:anchor distT="0" distB="0" distL="114300" distR="114300" simplePos="0" relativeHeight="251663360" behindDoc="0" locked="0" layoutInCell="1" allowOverlap="1" wp14:anchorId="7FC528C0" wp14:editId="49B93F57">
            <wp:simplePos x="0" y="0"/>
            <wp:positionH relativeFrom="column">
              <wp:posOffset>52070</wp:posOffset>
            </wp:positionH>
            <wp:positionV relativeFrom="paragraph">
              <wp:posOffset>-218440</wp:posOffset>
            </wp:positionV>
            <wp:extent cx="5257165" cy="7835900"/>
            <wp:effectExtent l="1905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257165" cy="7835900"/>
                    </a:xfrm>
                    <a:prstGeom prst="rect">
                      <a:avLst/>
                    </a:prstGeom>
                    <a:noFill/>
                    <a:ln w="9525">
                      <a:noFill/>
                      <a:miter lim="800000"/>
                      <a:headEnd/>
                      <a:tailEnd/>
                    </a:ln>
                  </pic:spPr>
                </pic:pic>
              </a:graphicData>
            </a:graphic>
          </wp:anchor>
        </w:drawing>
      </w:r>
    </w:p>
    <w:sectPr w:rsidR="001B3D5D">
      <w:footerReference w:type="default" r:id="rId31"/>
      <w:pgSz w:w="11907" w:h="16840" w:code="9"/>
      <w:pgMar w:top="1134" w:right="1134" w:bottom="1134" w:left="1418" w:header="567"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D5D" w:rsidRDefault="004D5502">
      <w:r>
        <w:separator/>
      </w:r>
    </w:p>
    <w:p w:rsidR="001B3D5D" w:rsidRDefault="001B3D5D"/>
  </w:endnote>
  <w:endnote w:type="continuationSeparator" w:id="0">
    <w:p w:rsidR="001B3D5D" w:rsidRDefault="004D5502">
      <w:r>
        <w:continuationSeparator/>
      </w:r>
    </w:p>
    <w:p w:rsidR="001B3D5D" w:rsidRDefault="001B3D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D5D" w:rsidRDefault="001B3D5D">
    <w:pPr>
      <w:pStyle w:val="Footer"/>
    </w:pPr>
  </w:p>
  <w:p w:rsidR="001B3D5D" w:rsidRDefault="001B3D5D">
    <w:pPr>
      <w:pStyle w:val="Footer"/>
    </w:pPr>
  </w:p>
  <w:p w:rsidR="001B3D5D" w:rsidRDefault="001B3D5D">
    <w:pPr>
      <w:pStyle w:val="Footer"/>
    </w:pPr>
  </w:p>
  <w:p w:rsidR="001B3D5D" w:rsidRDefault="001B3D5D">
    <w:pPr>
      <w:pStyle w:val="Footer"/>
    </w:pPr>
  </w:p>
  <w:p w:rsidR="001B3D5D" w:rsidRDefault="004D5502">
    <w:pPr>
      <w:pStyle w:val="Footer"/>
    </w:pPr>
    <w:r>
      <w:fldChar w:fldCharType="begin"/>
    </w:r>
    <w:r>
      <w:instrText xml:space="preserve"> DOCPROPERTY DocumentID \* MERGEFORMAT </w:instrText>
    </w:r>
    <w:r>
      <w:fldChar w:fldCharType="separate"/>
    </w:r>
    <w:r>
      <w:rPr>
        <w:color w:val="191919"/>
        <w:sz w:val="13"/>
      </w:rPr>
      <w:t>ME_116675713_6 (W2007)</w:t>
    </w:r>
    <w:r>
      <w:rPr>
        <w:color w:val="191919"/>
        <w:sz w:val="13"/>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D5D" w:rsidRDefault="004D5502">
    <w:pPr>
      <w:pStyle w:val="Footer"/>
      <w:tabs>
        <w:tab w:val="center" w:pos="4678"/>
      </w:tabs>
    </w:pPr>
    <w:r>
      <w:fldChar w:fldCharType="begin"/>
    </w:r>
    <w:r>
      <w:instrText xml:space="preserve"> DOCPROPERTY DocumentID \* MERGEFORMAT </w:instrText>
    </w:r>
    <w:r>
      <w:fldChar w:fldCharType="separate"/>
    </w:r>
    <w:r>
      <w:rPr>
        <w:color w:val="191919"/>
        <w:sz w:val="13"/>
      </w:rPr>
      <w:t>ME_116675713_6 (W2007)</w:t>
    </w:r>
    <w:r>
      <w:rPr>
        <w:color w:val="191919"/>
        <w:sz w:val="13"/>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686" w:type="dxa"/>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1985"/>
    </w:tblGrid>
    <w:tr w:rsidR="001B3D5D">
      <w:trPr>
        <w:cantSplit/>
        <w:trHeight w:hRule="exact" w:val="837"/>
      </w:trPr>
      <w:tc>
        <w:tcPr>
          <w:tcW w:w="3685" w:type="dxa"/>
          <w:tcBorders>
            <w:top w:val="nil"/>
            <w:left w:val="nil"/>
            <w:bottom w:val="nil"/>
            <w:right w:val="nil"/>
          </w:tcBorders>
          <w:vAlign w:val="bottom"/>
        </w:tcPr>
        <w:p w:rsidR="001B3D5D" w:rsidRDefault="004D5502">
          <w:pPr>
            <w:pStyle w:val="zMELogo"/>
            <w:spacing w:line="620" w:lineRule="exact"/>
            <w:rPr>
              <w:sz w:val="22"/>
            </w:rPr>
          </w:pPr>
          <w:r>
            <w:rPr>
              <w:spacing w:val="-20"/>
            </w:rPr>
            <w:t>M</w:t>
          </w:r>
          <w:r>
            <w:rPr>
              <w:spacing w:val="-20"/>
              <w:w w:val="110"/>
            </w:rPr>
            <w:t>int</w:t>
          </w:r>
          <w:r>
            <w:rPr>
              <w:spacing w:val="-20"/>
            </w:rPr>
            <w:t>e</w:t>
          </w:r>
          <w:r>
            <w:rPr>
              <w:spacing w:val="-20"/>
              <w:w w:val="110"/>
            </w:rPr>
            <w:t>r</w:t>
          </w:r>
          <w:r>
            <w:rPr>
              <w:spacing w:val="-20"/>
              <w:w w:val="90"/>
            </w:rPr>
            <w:t>E</w:t>
          </w:r>
          <w:r>
            <w:rPr>
              <w:spacing w:val="-20"/>
              <w:w w:val="110"/>
            </w:rPr>
            <w:t>lli</w:t>
          </w:r>
          <w:r>
            <w:rPr>
              <w:spacing w:val="-20"/>
            </w:rPr>
            <w:t>s</w:t>
          </w:r>
          <w:r>
            <w:rPr>
              <w:spacing w:val="-20"/>
              <w:w w:val="110"/>
            </w:rPr>
            <w:t>on</w:t>
          </w:r>
        </w:p>
      </w:tc>
      <w:tc>
        <w:tcPr>
          <w:tcW w:w="1985" w:type="dxa"/>
          <w:tcBorders>
            <w:top w:val="nil"/>
            <w:left w:val="single" w:sz="18" w:space="0" w:color="auto"/>
            <w:bottom w:val="single" w:sz="4" w:space="0" w:color="auto"/>
          </w:tcBorders>
          <w:vAlign w:val="bottom"/>
        </w:tcPr>
        <w:p w:rsidR="001B3D5D" w:rsidRDefault="001B3D5D">
          <w:pPr>
            <w:pStyle w:val="zMELogo"/>
            <w:rPr>
              <w:sz w:val="22"/>
            </w:rPr>
          </w:pPr>
        </w:p>
      </w:tc>
    </w:tr>
    <w:tr w:rsidR="001B3D5D">
      <w:trPr>
        <w:cantSplit/>
        <w:trHeight w:val="300"/>
      </w:trPr>
      <w:tc>
        <w:tcPr>
          <w:tcW w:w="3685" w:type="dxa"/>
          <w:tcBorders>
            <w:top w:val="single" w:sz="4" w:space="0" w:color="auto"/>
            <w:left w:val="nil"/>
            <w:bottom w:val="nil"/>
            <w:right w:val="nil"/>
          </w:tcBorders>
        </w:tcPr>
        <w:p w:rsidR="001B3D5D" w:rsidRDefault="001B3D5D">
          <w:pPr>
            <w:pStyle w:val="zMELogo"/>
            <w:rPr>
              <w:sz w:val="22"/>
            </w:rPr>
          </w:pPr>
        </w:p>
      </w:tc>
      <w:tc>
        <w:tcPr>
          <w:tcW w:w="1985" w:type="dxa"/>
          <w:tcBorders>
            <w:top w:val="single" w:sz="4" w:space="0" w:color="auto"/>
            <w:left w:val="single" w:sz="18" w:space="0" w:color="auto"/>
            <w:bottom w:val="nil"/>
          </w:tcBorders>
          <w:vAlign w:val="center"/>
        </w:tcPr>
        <w:p w:rsidR="001B3D5D" w:rsidRDefault="004D5502">
          <w:pPr>
            <w:pStyle w:val="zMELogo"/>
            <w:rPr>
              <w:rFonts w:ascii="Arial" w:hAnsi="Arial"/>
              <w:w w:val="85"/>
            </w:rPr>
          </w:pPr>
          <w:r>
            <w:rPr>
              <w:rFonts w:ascii="Arial" w:hAnsi="Arial"/>
              <w:w w:val="100"/>
            </w:rPr>
            <w:t xml:space="preserve"> </w:t>
          </w:r>
          <w:r>
            <w:rPr>
              <w:rFonts w:ascii="Arial" w:hAnsi="Arial"/>
              <w:b/>
              <w:i/>
              <w:spacing w:val="160"/>
              <w:w w:val="85"/>
              <w:sz w:val="16"/>
            </w:rPr>
            <w:t>LAWYER</w:t>
          </w:r>
          <w:r>
            <w:rPr>
              <w:rFonts w:ascii="Arial" w:hAnsi="Arial"/>
              <w:b/>
              <w:i/>
              <w:w w:val="85"/>
              <w:sz w:val="16"/>
            </w:rPr>
            <w:t>S</w:t>
          </w:r>
        </w:p>
      </w:tc>
    </w:tr>
  </w:tbl>
  <w:p w:rsidR="001B3D5D" w:rsidRDefault="001B3D5D">
    <w:pPr>
      <w:pStyle w:val="Footer"/>
      <w:tabs>
        <w:tab w:val="center" w:pos="4678"/>
      </w:tabs>
    </w:pPr>
  </w:p>
  <w:p w:rsidR="001B3D5D" w:rsidRDefault="001B3D5D">
    <w:pPr>
      <w:pStyle w:val="Footer"/>
      <w:tabs>
        <w:tab w:val="center" w:pos="4678"/>
      </w:tabs>
    </w:pPr>
  </w:p>
  <w:p w:rsidR="001B3D5D" w:rsidRDefault="004D5502">
    <w:pPr>
      <w:pStyle w:val="Footer"/>
      <w:tabs>
        <w:tab w:val="center" w:pos="4678"/>
      </w:tabs>
    </w:pPr>
    <w:r>
      <w:fldChar w:fldCharType="begin"/>
    </w:r>
    <w:r>
      <w:instrText xml:space="preserve"> DOCPROPERTY DocumentID \* MERGEFORMAT </w:instrText>
    </w:r>
    <w:r>
      <w:fldChar w:fldCharType="separate"/>
    </w:r>
    <w:r>
      <w:rPr>
        <w:color w:val="191919"/>
        <w:sz w:val="13"/>
      </w:rPr>
      <w:t>ME_116675713_6 (W2007)</w:t>
    </w:r>
    <w:r>
      <w:rPr>
        <w:color w:val="191919"/>
        <w:sz w:val="13"/>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D5D" w:rsidRDefault="001B3D5D">
    <w:pPr>
      <w:pStyle w:val="Footer"/>
      <w:tabs>
        <w:tab w:val="center" w:pos="4678"/>
      </w:tabs>
    </w:pPr>
  </w:p>
  <w:p w:rsidR="001B3D5D" w:rsidRDefault="001B3D5D">
    <w:pPr>
      <w:pStyle w:val="Footer"/>
      <w:tabs>
        <w:tab w:val="center" w:pos="4678"/>
      </w:tabs>
    </w:pPr>
  </w:p>
  <w:p w:rsidR="001B3D5D" w:rsidRDefault="004D5502">
    <w:pPr>
      <w:pStyle w:val="Footer"/>
      <w:tabs>
        <w:tab w:val="center" w:pos="4678"/>
      </w:tabs>
    </w:pPr>
    <w:r>
      <w:fldChar w:fldCharType="begin"/>
    </w:r>
    <w:r>
      <w:instrText xml:space="preserve"> DOCPROPERTY DocumentID \* MERGEFORMAT </w:instrText>
    </w:r>
    <w:r>
      <w:fldChar w:fldCharType="separate"/>
    </w:r>
    <w:r>
      <w:rPr>
        <w:color w:val="191919"/>
        <w:sz w:val="13"/>
      </w:rPr>
      <w:t>ME_116675713_6 (W2007)</w:t>
    </w:r>
    <w:r>
      <w:rPr>
        <w:color w:val="191919"/>
        <w:sz w:val="1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D5D" w:rsidRDefault="001B3D5D">
    <w:pPr>
      <w:pStyle w:val="Footer"/>
      <w:pBdr>
        <w:top w:val="single" w:sz="4" w:space="1" w:color="auto"/>
      </w:pBdr>
    </w:pPr>
  </w:p>
  <w:p w:rsidR="001B3D5D" w:rsidRDefault="004D5502">
    <w:pPr>
      <w:pStyle w:val="Footer"/>
      <w:pBdr>
        <w:top w:val="single" w:sz="4" w:space="1" w:color="auto"/>
      </w:pBdr>
      <w:rPr>
        <w:rStyle w:val="PageNumber"/>
      </w:rPr>
    </w:pPr>
    <w:r>
      <w:t>Minter Ellison | Ref:  FCH ANS 30-5037926</w:t>
    </w:r>
    <w:r>
      <w:tab/>
      <w:t xml:space="preserve">MWM Lease: Warehouse | page </w:t>
    </w:r>
    <w:r>
      <w:rPr>
        <w:rStyle w:val="PageNumber"/>
      </w:rPr>
      <w:fldChar w:fldCharType="begin"/>
    </w:r>
    <w:r>
      <w:rPr>
        <w:rStyle w:val="PageNumber"/>
      </w:rPr>
      <w:instrText xml:space="preserve"> PAGE </w:instrText>
    </w:r>
    <w:r>
      <w:rPr>
        <w:rStyle w:val="PageNumber"/>
      </w:rPr>
      <w:fldChar w:fldCharType="separate"/>
    </w:r>
    <w:r>
      <w:rPr>
        <w:rStyle w:val="PageNumber"/>
        <w:noProof/>
      </w:rPr>
      <w:t>50</w:t>
    </w:r>
    <w:r>
      <w:rPr>
        <w:rStyle w:val="PageNumber"/>
      </w:rPr>
      <w:fldChar w:fldCharType="end"/>
    </w:r>
  </w:p>
  <w:p w:rsidR="001B3D5D" w:rsidRDefault="001B3D5D">
    <w:pPr>
      <w:pStyle w:val="Footer"/>
      <w:pBdr>
        <w:top w:val="single" w:sz="4" w:space="1" w:color="auto"/>
      </w:pBdr>
      <w:rPr>
        <w:rStyle w:val="PageNumber"/>
      </w:rPr>
    </w:pPr>
  </w:p>
  <w:p w:rsidR="001B3D5D" w:rsidRDefault="001B3D5D">
    <w:pPr>
      <w:pStyle w:val="Footer"/>
      <w:pBdr>
        <w:top w:val="single" w:sz="4" w:space="1" w:color="auto"/>
      </w:pBdr>
    </w:pPr>
  </w:p>
  <w:p w:rsidR="001B3D5D" w:rsidRDefault="001B3D5D">
    <w:pPr>
      <w:pStyle w:val="Footer"/>
      <w:pBdr>
        <w:top w:val="single" w:sz="4" w:space="1" w:color="auto"/>
      </w:pBdr>
    </w:pPr>
  </w:p>
  <w:p w:rsidR="001B3D5D" w:rsidRDefault="001B3D5D">
    <w:pPr>
      <w:pStyle w:val="Footer"/>
      <w:pBdr>
        <w:top w:val="single" w:sz="4" w:space="1" w:color="auto"/>
      </w:pBdr>
    </w:pPr>
  </w:p>
  <w:p w:rsidR="001B3D5D" w:rsidRDefault="004D5502">
    <w:pPr>
      <w:pStyle w:val="Footer"/>
      <w:pBdr>
        <w:top w:val="single" w:sz="4" w:space="1" w:color="auto"/>
      </w:pBdr>
    </w:pPr>
    <w:r>
      <w:fldChar w:fldCharType="begin"/>
    </w:r>
    <w:r>
      <w:instrText xml:space="preserve"> DOCPROPERTY DocumentID \* MERGEFORMAT </w:instrText>
    </w:r>
    <w:r>
      <w:fldChar w:fldCharType="separate"/>
    </w:r>
    <w:r>
      <w:rPr>
        <w:color w:val="191919"/>
        <w:sz w:val="13"/>
      </w:rPr>
      <w:t>ME_116675713_6 (W2007)</w:t>
    </w:r>
    <w:r>
      <w:rPr>
        <w:color w:val="191919"/>
        <w:sz w:val="13"/>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D5D" w:rsidRDefault="001B3D5D">
    <w:pPr>
      <w:pStyle w:val="Footer"/>
    </w:pPr>
  </w:p>
  <w:p w:rsidR="001B3D5D" w:rsidRDefault="001B3D5D">
    <w:pPr>
      <w:pStyle w:val="Footer"/>
    </w:pPr>
  </w:p>
  <w:p w:rsidR="001B3D5D" w:rsidRDefault="001B3D5D">
    <w:pPr>
      <w:pStyle w:val="Footer"/>
    </w:pPr>
  </w:p>
  <w:tbl>
    <w:tblPr>
      <w:tblW w:w="0" w:type="auto"/>
      <w:tblInd w:w="3686" w:type="dxa"/>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1985"/>
    </w:tblGrid>
    <w:tr w:rsidR="001B3D5D">
      <w:trPr>
        <w:cantSplit/>
        <w:trHeight w:hRule="exact" w:val="837"/>
      </w:trPr>
      <w:tc>
        <w:tcPr>
          <w:tcW w:w="3685" w:type="dxa"/>
          <w:tcBorders>
            <w:top w:val="nil"/>
            <w:left w:val="nil"/>
            <w:bottom w:val="nil"/>
            <w:right w:val="nil"/>
          </w:tcBorders>
          <w:vAlign w:val="bottom"/>
        </w:tcPr>
        <w:p w:rsidR="001B3D5D" w:rsidRDefault="004D5502">
          <w:pPr>
            <w:pStyle w:val="zMELogo"/>
            <w:spacing w:line="620" w:lineRule="exact"/>
            <w:rPr>
              <w:sz w:val="22"/>
            </w:rPr>
          </w:pPr>
          <w:bookmarkStart w:id="11" w:name="bkLogo"/>
          <w:r>
            <w:rPr>
              <w:spacing w:val="-20"/>
            </w:rPr>
            <w:t>M</w:t>
          </w:r>
          <w:r>
            <w:rPr>
              <w:spacing w:val="-20"/>
              <w:w w:val="110"/>
            </w:rPr>
            <w:t>int</w:t>
          </w:r>
          <w:r>
            <w:rPr>
              <w:spacing w:val="-20"/>
            </w:rPr>
            <w:t>e</w:t>
          </w:r>
          <w:r>
            <w:rPr>
              <w:spacing w:val="-20"/>
              <w:w w:val="110"/>
            </w:rPr>
            <w:t>r</w:t>
          </w:r>
          <w:r>
            <w:rPr>
              <w:spacing w:val="-20"/>
              <w:w w:val="90"/>
            </w:rPr>
            <w:t>E</w:t>
          </w:r>
          <w:r>
            <w:rPr>
              <w:spacing w:val="-20"/>
              <w:w w:val="110"/>
            </w:rPr>
            <w:t>lli</w:t>
          </w:r>
          <w:r>
            <w:rPr>
              <w:spacing w:val="-20"/>
            </w:rPr>
            <w:t>s</w:t>
          </w:r>
          <w:r>
            <w:rPr>
              <w:spacing w:val="-20"/>
              <w:w w:val="110"/>
            </w:rPr>
            <w:t>on</w:t>
          </w:r>
          <w:bookmarkEnd w:id="11"/>
        </w:p>
      </w:tc>
      <w:tc>
        <w:tcPr>
          <w:tcW w:w="1985" w:type="dxa"/>
          <w:tcBorders>
            <w:top w:val="nil"/>
            <w:left w:val="single" w:sz="18" w:space="0" w:color="auto"/>
            <w:bottom w:val="single" w:sz="4" w:space="0" w:color="auto"/>
          </w:tcBorders>
          <w:vAlign w:val="bottom"/>
        </w:tcPr>
        <w:p w:rsidR="001B3D5D" w:rsidRDefault="001B3D5D">
          <w:pPr>
            <w:pStyle w:val="zMELogo"/>
            <w:rPr>
              <w:sz w:val="22"/>
            </w:rPr>
          </w:pPr>
        </w:p>
      </w:tc>
    </w:tr>
    <w:tr w:rsidR="001B3D5D">
      <w:trPr>
        <w:cantSplit/>
        <w:trHeight w:hRule="exact" w:val="300"/>
      </w:trPr>
      <w:tc>
        <w:tcPr>
          <w:tcW w:w="3685" w:type="dxa"/>
          <w:tcBorders>
            <w:top w:val="single" w:sz="4" w:space="0" w:color="auto"/>
            <w:left w:val="nil"/>
            <w:bottom w:val="nil"/>
            <w:right w:val="nil"/>
          </w:tcBorders>
        </w:tcPr>
        <w:p w:rsidR="001B3D5D" w:rsidRDefault="001B3D5D">
          <w:pPr>
            <w:pStyle w:val="zMELogo"/>
            <w:rPr>
              <w:sz w:val="22"/>
            </w:rPr>
          </w:pPr>
        </w:p>
      </w:tc>
      <w:tc>
        <w:tcPr>
          <w:tcW w:w="1985" w:type="dxa"/>
          <w:tcBorders>
            <w:top w:val="single" w:sz="4" w:space="0" w:color="auto"/>
            <w:left w:val="single" w:sz="18" w:space="0" w:color="auto"/>
            <w:bottom w:val="nil"/>
          </w:tcBorders>
          <w:vAlign w:val="center"/>
        </w:tcPr>
        <w:p w:rsidR="001B3D5D" w:rsidRDefault="004D5502">
          <w:pPr>
            <w:pStyle w:val="zMELogo"/>
            <w:rPr>
              <w:rFonts w:ascii="Arial" w:hAnsi="Arial"/>
              <w:w w:val="85"/>
            </w:rPr>
          </w:pPr>
          <w:r>
            <w:rPr>
              <w:rFonts w:ascii="Arial" w:hAnsi="Arial"/>
              <w:w w:val="100"/>
            </w:rPr>
            <w:t xml:space="preserve"> </w:t>
          </w:r>
          <w:r>
            <w:rPr>
              <w:rFonts w:ascii="Arial" w:hAnsi="Arial"/>
              <w:b/>
              <w:i/>
              <w:spacing w:val="160"/>
              <w:w w:val="85"/>
              <w:sz w:val="16"/>
            </w:rPr>
            <w:t>LAWYER</w:t>
          </w:r>
          <w:r>
            <w:rPr>
              <w:rFonts w:ascii="Arial" w:hAnsi="Arial"/>
              <w:b/>
              <w:i/>
              <w:w w:val="85"/>
              <w:sz w:val="16"/>
            </w:rPr>
            <w:t>S</w:t>
          </w:r>
        </w:p>
      </w:tc>
    </w:tr>
  </w:tbl>
  <w:p w:rsidR="001B3D5D" w:rsidRDefault="001B3D5D">
    <w:pPr>
      <w:pStyle w:val="Footer"/>
      <w:tabs>
        <w:tab w:val="center" w:pos="4678"/>
      </w:tabs>
    </w:pPr>
  </w:p>
  <w:p w:rsidR="001B3D5D" w:rsidRDefault="001B3D5D">
    <w:pPr>
      <w:pStyle w:val="Footer"/>
      <w:tabs>
        <w:tab w:val="center" w:pos="4678"/>
      </w:tabs>
    </w:pPr>
  </w:p>
  <w:tbl>
    <w:tblPr>
      <w:tblW w:w="0" w:type="auto"/>
      <w:tblLayout w:type="fixed"/>
      <w:tblCellMar>
        <w:left w:w="0" w:type="dxa"/>
        <w:right w:w="0" w:type="dxa"/>
      </w:tblCellMar>
      <w:tblLook w:val="0000" w:firstRow="0" w:lastRow="0" w:firstColumn="0" w:lastColumn="0" w:noHBand="0" w:noVBand="0"/>
    </w:tblPr>
    <w:tblGrid>
      <w:gridCol w:w="3686"/>
      <w:gridCol w:w="5884"/>
    </w:tblGrid>
    <w:tr w:rsidR="001B3D5D">
      <w:tc>
        <w:tcPr>
          <w:tcW w:w="3686" w:type="dxa"/>
        </w:tcPr>
        <w:p w:rsidR="001B3D5D" w:rsidRDefault="001B3D5D">
          <w:pPr>
            <w:pStyle w:val="Footer"/>
            <w:tabs>
              <w:tab w:val="center" w:pos="4678"/>
            </w:tabs>
            <w:spacing w:line="180" w:lineRule="exact"/>
            <w:rPr>
              <w:spacing w:val="-4"/>
              <w:w w:val="85"/>
            </w:rPr>
          </w:pPr>
        </w:p>
      </w:tc>
      <w:tc>
        <w:tcPr>
          <w:tcW w:w="5884" w:type="dxa"/>
        </w:tcPr>
        <w:p w:rsidR="001B3D5D" w:rsidRDefault="004D5502">
          <w:pPr>
            <w:pStyle w:val="Footer"/>
            <w:spacing w:line="180" w:lineRule="exact"/>
            <w:rPr>
              <w:spacing w:val="-4"/>
              <w:w w:val="90"/>
            </w:rPr>
          </w:pPr>
          <w:bookmarkStart w:id="12" w:name="bkULNOfficeAddress"/>
          <w:bookmarkStart w:id="13" w:name="bkMEAddress"/>
          <w:bookmarkEnd w:id="12"/>
          <w:r>
            <w:rPr>
              <w:spacing w:val="-4"/>
              <w:w w:val="90"/>
            </w:rPr>
            <w:t xml:space="preserve">LEVEL </w:t>
          </w:r>
          <w:r>
            <w:rPr>
              <w:spacing w:val="-4"/>
              <w:w w:val="90"/>
            </w:rPr>
            <w:t>23 RIALTO TOWERS 525 COLLINS STREET MELBOURNE VIC 3000</w:t>
          </w:r>
        </w:p>
        <w:p w:rsidR="001B3D5D" w:rsidRDefault="004D5502">
          <w:pPr>
            <w:pStyle w:val="Footer"/>
            <w:spacing w:line="180" w:lineRule="exact"/>
            <w:rPr>
              <w:spacing w:val="-4"/>
              <w:w w:val="90"/>
            </w:rPr>
          </w:pPr>
          <w:r>
            <w:rPr>
              <w:spacing w:val="-4"/>
              <w:w w:val="90"/>
            </w:rPr>
            <w:t>AUSTRALIA DX 204 MELBOURNE</w:t>
          </w:r>
        </w:p>
        <w:p w:rsidR="001B3D5D" w:rsidRDefault="004D5502">
          <w:pPr>
            <w:pStyle w:val="Footer"/>
            <w:spacing w:line="180" w:lineRule="exact"/>
            <w:rPr>
              <w:spacing w:val="-4"/>
              <w:w w:val="90"/>
            </w:rPr>
          </w:pPr>
          <w:r>
            <w:rPr>
              <w:spacing w:val="-4"/>
              <w:w w:val="90"/>
            </w:rPr>
            <w:t>T +61 3 8608 2000 F +61 3 8608 1000</w:t>
          </w:r>
          <w:bookmarkEnd w:id="13"/>
        </w:p>
        <w:p w:rsidR="001B3D5D" w:rsidRDefault="004D5502">
          <w:pPr>
            <w:pStyle w:val="Footer"/>
            <w:spacing w:line="180" w:lineRule="exact"/>
            <w:rPr>
              <w:spacing w:val="-4"/>
              <w:w w:val="95"/>
              <w:sz w:val="16"/>
            </w:rPr>
          </w:pPr>
          <w:bookmarkStart w:id="14" w:name="bkMEWeb"/>
          <w:r>
            <w:rPr>
              <w:spacing w:val="-4"/>
              <w:w w:val="95"/>
              <w:sz w:val="16"/>
            </w:rPr>
            <w:t>www.minterellison.com</w:t>
          </w:r>
          <w:bookmarkEnd w:id="14"/>
          <w:r>
            <w:rPr>
              <w:spacing w:val="-4"/>
              <w:w w:val="95"/>
              <w:sz w:val="16"/>
            </w:rPr>
            <w:t xml:space="preserve"> </w:t>
          </w:r>
        </w:p>
      </w:tc>
    </w:tr>
  </w:tbl>
  <w:p w:rsidR="001B3D5D" w:rsidRDefault="001B3D5D">
    <w:pPr>
      <w:pStyle w:val="Footer"/>
    </w:pPr>
  </w:p>
  <w:p w:rsidR="001B3D5D" w:rsidRDefault="004D5502">
    <w:pPr>
      <w:pStyle w:val="Footer"/>
    </w:pPr>
    <w:r>
      <w:fldChar w:fldCharType="begin"/>
    </w:r>
    <w:r>
      <w:instrText xml:space="preserve"> DOCPROPERTY DocumentID \* MERGEFORMAT </w:instrText>
    </w:r>
    <w:r>
      <w:fldChar w:fldCharType="separate"/>
    </w:r>
    <w:r>
      <w:rPr>
        <w:color w:val="191919"/>
        <w:sz w:val="13"/>
      </w:rPr>
      <w:t>ME_116675713_6 (W2007)</w:t>
    </w:r>
    <w:r>
      <w:rPr>
        <w:color w:val="191919"/>
        <w:sz w:val="13"/>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D5D" w:rsidRDefault="004D5502">
    <w:pPr>
      <w:pStyle w:val="Footer"/>
      <w:pBdr>
        <w:top w:val="single" w:sz="4" w:space="1" w:color="auto"/>
      </w:pBdr>
    </w:pPr>
    <w:bookmarkStart w:id="834" w:name="bkMEName"/>
    <w:r>
      <w:t>Minter Ellison</w:t>
    </w:r>
    <w:bookmarkEnd w:id="834"/>
    <w:r>
      <w:t xml:space="preserve"> | Ref:  </w:t>
    </w:r>
    <w:bookmarkStart w:id="835" w:name="bkProdRef"/>
    <w:r>
      <w:t>FCH ANS</w:t>
    </w:r>
    <w:bookmarkEnd w:id="835"/>
    <w:r>
      <w:t xml:space="preserve">  </w:t>
    </w:r>
    <w:bookmarkStart w:id="836" w:name="bkMatterNum"/>
    <w:r>
      <w:t>30-5037926</w:t>
    </w:r>
    <w:bookmarkEnd w:id="836"/>
    <w:r>
      <w:tab/>
      <w:t xml:space="preserve">Part A Warehouse Lease | page </w:t>
    </w:r>
    <w:r>
      <w:rPr>
        <w:rStyle w:val="PageNumber"/>
      </w:rPr>
      <w:fldChar w:fldCharType="begin"/>
    </w:r>
    <w:r>
      <w:rPr>
        <w:rStyle w:val="PageNumber"/>
      </w:rPr>
      <w:instrText xml:space="preserve"> P</w:instrText>
    </w:r>
    <w:r>
      <w:rPr>
        <w:rStyle w:val="PageNumber"/>
      </w:rPr>
      <w:instrText xml:space="preserve">AGE </w:instrText>
    </w:r>
    <w:r>
      <w:rPr>
        <w:rStyle w:val="PageNumber"/>
      </w:rPr>
      <w:fldChar w:fldCharType="separate"/>
    </w:r>
    <w:r>
      <w:rPr>
        <w:rStyle w:val="PageNumber"/>
        <w:noProof/>
      </w:rPr>
      <w:t>34</w:t>
    </w:r>
    <w:r>
      <w:rPr>
        <w:rStyle w:val="PageNumber"/>
      </w:rPr>
      <w:fldChar w:fldCharType="end"/>
    </w:r>
  </w:p>
  <w:p w:rsidR="001B3D5D" w:rsidRDefault="001B3D5D">
    <w:pPr>
      <w:pStyle w:val="Footer"/>
      <w:tabs>
        <w:tab w:val="center" w:pos="4678"/>
      </w:tabs>
    </w:pPr>
  </w:p>
  <w:p w:rsidR="001B3D5D" w:rsidRDefault="004D5502">
    <w:pPr>
      <w:pStyle w:val="Footer"/>
      <w:tabs>
        <w:tab w:val="center" w:pos="4678"/>
      </w:tabs>
    </w:pPr>
    <w:r>
      <w:fldChar w:fldCharType="begin"/>
    </w:r>
    <w:r>
      <w:instrText xml:space="preserve"> DOCPROPERTY DocumentID \* MERGEFORMAT </w:instrText>
    </w:r>
    <w:r>
      <w:fldChar w:fldCharType="separate"/>
    </w:r>
    <w:r>
      <w:rPr>
        <w:color w:val="191919"/>
        <w:sz w:val="13"/>
      </w:rPr>
      <w:t>ME_116675713_6 (W2007)</w:t>
    </w:r>
    <w:r>
      <w:rPr>
        <w:color w:val="191919"/>
        <w:sz w:val="13"/>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686" w:type="dxa"/>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1985"/>
    </w:tblGrid>
    <w:tr w:rsidR="001B3D5D">
      <w:trPr>
        <w:cantSplit/>
        <w:trHeight w:hRule="exact" w:val="837"/>
      </w:trPr>
      <w:tc>
        <w:tcPr>
          <w:tcW w:w="3685" w:type="dxa"/>
          <w:tcBorders>
            <w:top w:val="nil"/>
            <w:left w:val="nil"/>
            <w:bottom w:val="nil"/>
            <w:right w:val="nil"/>
          </w:tcBorders>
          <w:vAlign w:val="bottom"/>
        </w:tcPr>
        <w:p w:rsidR="001B3D5D" w:rsidRDefault="004D5502">
          <w:pPr>
            <w:pStyle w:val="zMELogo"/>
            <w:spacing w:line="620" w:lineRule="exact"/>
            <w:rPr>
              <w:sz w:val="22"/>
            </w:rPr>
          </w:pPr>
          <w:r>
            <w:rPr>
              <w:spacing w:val="-20"/>
            </w:rPr>
            <w:t>M</w:t>
          </w:r>
          <w:r>
            <w:rPr>
              <w:spacing w:val="-20"/>
              <w:w w:val="110"/>
            </w:rPr>
            <w:t>int</w:t>
          </w:r>
          <w:r>
            <w:rPr>
              <w:spacing w:val="-20"/>
            </w:rPr>
            <w:t>e</w:t>
          </w:r>
          <w:r>
            <w:rPr>
              <w:spacing w:val="-20"/>
              <w:w w:val="110"/>
            </w:rPr>
            <w:t>r</w:t>
          </w:r>
          <w:r>
            <w:rPr>
              <w:spacing w:val="-20"/>
              <w:w w:val="90"/>
            </w:rPr>
            <w:t>E</w:t>
          </w:r>
          <w:r>
            <w:rPr>
              <w:spacing w:val="-20"/>
              <w:w w:val="110"/>
            </w:rPr>
            <w:t>lli</w:t>
          </w:r>
          <w:r>
            <w:rPr>
              <w:spacing w:val="-20"/>
            </w:rPr>
            <w:t>s</w:t>
          </w:r>
          <w:r>
            <w:rPr>
              <w:spacing w:val="-20"/>
              <w:w w:val="110"/>
            </w:rPr>
            <w:t>on</w:t>
          </w:r>
        </w:p>
      </w:tc>
      <w:tc>
        <w:tcPr>
          <w:tcW w:w="1985" w:type="dxa"/>
          <w:tcBorders>
            <w:top w:val="nil"/>
            <w:left w:val="single" w:sz="18" w:space="0" w:color="auto"/>
            <w:bottom w:val="single" w:sz="4" w:space="0" w:color="auto"/>
          </w:tcBorders>
          <w:vAlign w:val="bottom"/>
        </w:tcPr>
        <w:p w:rsidR="001B3D5D" w:rsidRDefault="001B3D5D">
          <w:pPr>
            <w:pStyle w:val="zMELogo"/>
            <w:rPr>
              <w:sz w:val="22"/>
            </w:rPr>
          </w:pPr>
        </w:p>
      </w:tc>
    </w:tr>
    <w:tr w:rsidR="001B3D5D">
      <w:trPr>
        <w:cantSplit/>
        <w:trHeight w:val="300"/>
      </w:trPr>
      <w:tc>
        <w:tcPr>
          <w:tcW w:w="3685" w:type="dxa"/>
          <w:tcBorders>
            <w:top w:val="single" w:sz="4" w:space="0" w:color="auto"/>
            <w:left w:val="nil"/>
            <w:bottom w:val="nil"/>
            <w:right w:val="nil"/>
          </w:tcBorders>
        </w:tcPr>
        <w:p w:rsidR="001B3D5D" w:rsidRDefault="001B3D5D">
          <w:pPr>
            <w:pStyle w:val="zMELogo"/>
            <w:rPr>
              <w:sz w:val="22"/>
            </w:rPr>
          </w:pPr>
        </w:p>
      </w:tc>
      <w:tc>
        <w:tcPr>
          <w:tcW w:w="1985" w:type="dxa"/>
          <w:tcBorders>
            <w:top w:val="single" w:sz="4" w:space="0" w:color="auto"/>
            <w:left w:val="single" w:sz="18" w:space="0" w:color="auto"/>
            <w:bottom w:val="nil"/>
          </w:tcBorders>
          <w:vAlign w:val="center"/>
        </w:tcPr>
        <w:p w:rsidR="001B3D5D" w:rsidRDefault="004D5502">
          <w:pPr>
            <w:pStyle w:val="zMELogo"/>
            <w:rPr>
              <w:rFonts w:ascii="Arial" w:hAnsi="Arial"/>
              <w:w w:val="85"/>
            </w:rPr>
          </w:pPr>
          <w:r>
            <w:rPr>
              <w:rFonts w:ascii="Arial" w:hAnsi="Arial"/>
              <w:w w:val="100"/>
            </w:rPr>
            <w:t xml:space="preserve"> </w:t>
          </w:r>
          <w:r>
            <w:rPr>
              <w:rFonts w:ascii="Arial" w:hAnsi="Arial"/>
              <w:b/>
              <w:i/>
              <w:spacing w:val="160"/>
              <w:w w:val="85"/>
              <w:sz w:val="16"/>
            </w:rPr>
            <w:t>LAWYER</w:t>
          </w:r>
          <w:r>
            <w:rPr>
              <w:rFonts w:ascii="Arial" w:hAnsi="Arial"/>
              <w:b/>
              <w:i/>
              <w:w w:val="85"/>
              <w:sz w:val="16"/>
            </w:rPr>
            <w:t>S</w:t>
          </w:r>
        </w:p>
      </w:tc>
    </w:tr>
  </w:tbl>
  <w:p w:rsidR="001B3D5D" w:rsidRDefault="001B3D5D">
    <w:pPr>
      <w:pStyle w:val="Footer"/>
      <w:tabs>
        <w:tab w:val="center" w:pos="4678"/>
      </w:tabs>
    </w:pPr>
  </w:p>
  <w:p w:rsidR="001B3D5D" w:rsidRDefault="001B3D5D">
    <w:pPr>
      <w:pStyle w:val="Footer"/>
      <w:tabs>
        <w:tab w:val="center" w:pos="4678"/>
      </w:tabs>
    </w:pPr>
  </w:p>
  <w:p w:rsidR="001B3D5D" w:rsidRDefault="004D5502">
    <w:pPr>
      <w:pStyle w:val="Footer"/>
      <w:tabs>
        <w:tab w:val="center" w:pos="4678"/>
      </w:tabs>
    </w:pPr>
    <w:r>
      <w:fldChar w:fldCharType="begin"/>
    </w:r>
    <w:r>
      <w:instrText xml:space="preserve"> DOCPROPERTY DocumentID \* MERGEFORMAT </w:instrText>
    </w:r>
    <w:r>
      <w:fldChar w:fldCharType="separate"/>
    </w:r>
    <w:r>
      <w:rPr>
        <w:color w:val="191919"/>
        <w:sz w:val="13"/>
      </w:rPr>
      <w:t>ME_116675713_6 (W2007)</w:t>
    </w:r>
    <w:r>
      <w:rPr>
        <w:color w:val="191919"/>
        <w:sz w:val="13"/>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686" w:type="dxa"/>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1985"/>
    </w:tblGrid>
    <w:tr w:rsidR="001B3D5D">
      <w:trPr>
        <w:cantSplit/>
        <w:trHeight w:hRule="exact" w:val="837"/>
      </w:trPr>
      <w:tc>
        <w:tcPr>
          <w:tcW w:w="3685" w:type="dxa"/>
          <w:tcBorders>
            <w:top w:val="nil"/>
            <w:left w:val="nil"/>
            <w:bottom w:val="nil"/>
            <w:right w:val="nil"/>
          </w:tcBorders>
          <w:vAlign w:val="bottom"/>
        </w:tcPr>
        <w:p w:rsidR="001B3D5D" w:rsidRDefault="004D5502">
          <w:pPr>
            <w:pStyle w:val="zMELogo"/>
            <w:spacing w:line="620" w:lineRule="exact"/>
            <w:rPr>
              <w:sz w:val="22"/>
            </w:rPr>
          </w:pPr>
          <w:r>
            <w:rPr>
              <w:spacing w:val="-20"/>
            </w:rPr>
            <w:t>M</w:t>
          </w:r>
          <w:r>
            <w:rPr>
              <w:spacing w:val="-20"/>
              <w:w w:val="110"/>
            </w:rPr>
            <w:t>int</w:t>
          </w:r>
          <w:r>
            <w:rPr>
              <w:spacing w:val="-20"/>
            </w:rPr>
            <w:t>e</w:t>
          </w:r>
          <w:r>
            <w:rPr>
              <w:spacing w:val="-20"/>
              <w:w w:val="110"/>
            </w:rPr>
            <w:t>r</w:t>
          </w:r>
          <w:r>
            <w:rPr>
              <w:spacing w:val="-20"/>
              <w:w w:val="90"/>
            </w:rPr>
            <w:t>E</w:t>
          </w:r>
          <w:r>
            <w:rPr>
              <w:spacing w:val="-20"/>
              <w:w w:val="110"/>
            </w:rPr>
            <w:t>lli</w:t>
          </w:r>
          <w:r>
            <w:rPr>
              <w:spacing w:val="-20"/>
            </w:rPr>
            <w:t>s</w:t>
          </w:r>
          <w:r>
            <w:rPr>
              <w:spacing w:val="-20"/>
              <w:w w:val="110"/>
            </w:rPr>
            <w:t>on</w:t>
          </w:r>
        </w:p>
      </w:tc>
      <w:tc>
        <w:tcPr>
          <w:tcW w:w="1985" w:type="dxa"/>
          <w:tcBorders>
            <w:top w:val="nil"/>
            <w:left w:val="single" w:sz="18" w:space="0" w:color="auto"/>
            <w:bottom w:val="single" w:sz="4" w:space="0" w:color="auto"/>
          </w:tcBorders>
          <w:vAlign w:val="bottom"/>
        </w:tcPr>
        <w:p w:rsidR="001B3D5D" w:rsidRDefault="001B3D5D">
          <w:pPr>
            <w:pStyle w:val="zMELogo"/>
            <w:rPr>
              <w:sz w:val="22"/>
            </w:rPr>
          </w:pPr>
        </w:p>
      </w:tc>
    </w:tr>
    <w:tr w:rsidR="001B3D5D">
      <w:trPr>
        <w:cantSplit/>
        <w:trHeight w:val="300"/>
      </w:trPr>
      <w:tc>
        <w:tcPr>
          <w:tcW w:w="3685" w:type="dxa"/>
          <w:tcBorders>
            <w:top w:val="single" w:sz="4" w:space="0" w:color="auto"/>
            <w:left w:val="nil"/>
            <w:bottom w:val="nil"/>
            <w:right w:val="nil"/>
          </w:tcBorders>
        </w:tcPr>
        <w:p w:rsidR="001B3D5D" w:rsidRDefault="001B3D5D">
          <w:pPr>
            <w:pStyle w:val="zMELogo"/>
            <w:rPr>
              <w:sz w:val="22"/>
            </w:rPr>
          </w:pPr>
        </w:p>
      </w:tc>
      <w:tc>
        <w:tcPr>
          <w:tcW w:w="1985" w:type="dxa"/>
          <w:tcBorders>
            <w:top w:val="single" w:sz="4" w:space="0" w:color="auto"/>
            <w:left w:val="single" w:sz="18" w:space="0" w:color="auto"/>
            <w:bottom w:val="nil"/>
          </w:tcBorders>
          <w:vAlign w:val="center"/>
        </w:tcPr>
        <w:p w:rsidR="001B3D5D" w:rsidRDefault="004D5502">
          <w:pPr>
            <w:pStyle w:val="zMELogo"/>
            <w:rPr>
              <w:rFonts w:ascii="Arial" w:hAnsi="Arial"/>
              <w:w w:val="85"/>
            </w:rPr>
          </w:pPr>
          <w:r>
            <w:rPr>
              <w:rFonts w:ascii="Arial" w:hAnsi="Arial"/>
              <w:w w:val="100"/>
            </w:rPr>
            <w:t xml:space="preserve"> </w:t>
          </w:r>
          <w:r>
            <w:rPr>
              <w:rFonts w:ascii="Arial" w:hAnsi="Arial"/>
              <w:b/>
              <w:i/>
              <w:spacing w:val="160"/>
              <w:w w:val="85"/>
              <w:sz w:val="16"/>
            </w:rPr>
            <w:t>LAWYER</w:t>
          </w:r>
          <w:r>
            <w:rPr>
              <w:rFonts w:ascii="Arial" w:hAnsi="Arial"/>
              <w:b/>
              <w:i/>
              <w:w w:val="85"/>
              <w:sz w:val="16"/>
            </w:rPr>
            <w:t>S</w:t>
          </w:r>
        </w:p>
      </w:tc>
    </w:tr>
  </w:tbl>
  <w:p w:rsidR="001B3D5D" w:rsidRDefault="004D5502">
    <w:pPr>
      <w:pStyle w:val="Footer"/>
      <w:tabs>
        <w:tab w:val="center" w:pos="4678"/>
      </w:tabs>
    </w:pPr>
    <w:r>
      <w:fldChar w:fldCharType="begin"/>
    </w:r>
    <w:r>
      <w:instrText xml:space="preserve"> DOCPROPERTY DocumentID \* MERGEFORMAT </w:instrText>
    </w:r>
    <w:r>
      <w:fldChar w:fldCharType="separate"/>
    </w:r>
    <w:r>
      <w:rPr>
        <w:color w:val="191919"/>
        <w:sz w:val="13"/>
      </w:rPr>
      <w:t xml:space="preserve">ME_116675713_6 </w:t>
    </w:r>
    <w:r>
      <w:rPr>
        <w:color w:val="191919"/>
        <w:sz w:val="13"/>
      </w:rPr>
      <w:t>(W2007)</w:t>
    </w:r>
    <w:r>
      <w:rPr>
        <w:color w:val="191919"/>
        <w:sz w:val="13"/>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686" w:type="dxa"/>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1985"/>
    </w:tblGrid>
    <w:tr w:rsidR="001B3D5D">
      <w:trPr>
        <w:cantSplit/>
        <w:trHeight w:hRule="exact" w:val="837"/>
      </w:trPr>
      <w:tc>
        <w:tcPr>
          <w:tcW w:w="3685" w:type="dxa"/>
          <w:tcBorders>
            <w:top w:val="nil"/>
            <w:left w:val="nil"/>
            <w:bottom w:val="nil"/>
            <w:right w:val="nil"/>
          </w:tcBorders>
          <w:vAlign w:val="bottom"/>
        </w:tcPr>
        <w:p w:rsidR="001B3D5D" w:rsidRDefault="004D5502">
          <w:pPr>
            <w:pStyle w:val="zMELogo"/>
            <w:spacing w:line="620" w:lineRule="exact"/>
            <w:rPr>
              <w:sz w:val="22"/>
            </w:rPr>
          </w:pPr>
          <w:r>
            <w:rPr>
              <w:spacing w:val="-20"/>
            </w:rPr>
            <w:t>M</w:t>
          </w:r>
          <w:r>
            <w:rPr>
              <w:spacing w:val="-20"/>
              <w:w w:val="110"/>
            </w:rPr>
            <w:t>int</w:t>
          </w:r>
          <w:r>
            <w:rPr>
              <w:spacing w:val="-20"/>
            </w:rPr>
            <w:t>e</w:t>
          </w:r>
          <w:r>
            <w:rPr>
              <w:spacing w:val="-20"/>
              <w:w w:val="110"/>
            </w:rPr>
            <w:t>r</w:t>
          </w:r>
          <w:r>
            <w:rPr>
              <w:spacing w:val="-20"/>
              <w:w w:val="90"/>
            </w:rPr>
            <w:t>E</w:t>
          </w:r>
          <w:r>
            <w:rPr>
              <w:spacing w:val="-20"/>
              <w:w w:val="110"/>
            </w:rPr>
            <w:t>lli</w:t>
          </w:r>
          <w:r>
            <w:rPr>
              <w:spacing w:val="-20"/>
            </w:rPr>
            <w:t>s</w:t>
          </w:r>
          <w:r>
            <w:rPr>
              <w:spacing w:val="-20"/>
              <w:w w:val="110"/>
            </w:rPr>
            <w:t>on</w:t>
          </w:r>
        </w:p>
      </w:tc>
      <w:tc>
        <w:tcPr>
          <w:tcW w:w="1985" w:type="dxa"/>
          <w:tcBorders>
            <w:top w:val="nil"/>
            <w:left w:val="single" w:sz="18" w:space="0" w:color="auto"/>
            <w:bottom w:val="single" w:sz="4" w:space="0" w:color="auto"/>
          </w:tcBorders>
          <w:vAlign w:val="bottom"/>
        </w:tcPr>
        <w:p w:rsidR="001B3D5D" w:rsidRDefault="001B3D5D">
          <w:pPr>
            <w:pStyle w:val="zMELogo"/>
            <w:rPr>
              <w:sz w:val="22"/>
            </w:rPr>
          </w:pPr>
        </w:p>
      </w:tc>
    </w:tr>
    <w:tr w:rsidR="001B3D5D">
      <w:trPr>
        <w:cantSplit/>
        <w:trHeight w:val="300"/>
      </w:trPr>
      <w:tc>
        <w:tcPr>
          <w:tcW w:w="3685" w:type="dxa"/>
          <w:tcBorders>
            <w:top w:val="single" w:sz="4" w:space="0" w:color="auto"/>
            <w:left w:val="nil"/>
            <w:bottom w:val="nil"/>
            <w:right w:val="nil"/>
          </w:tcBorders>
        </w:tcPr>
        <w:p w:rsidR="001B3D5D" w:rsidRDefault="001B3D5D">
          <w:pPr>
            <w:pStyle w:val="zMELogo"/>
            <w:rPr>
              <w:sz w:val="22"/>
            </w:rPr>
          </w:pPr>
        </w:p>
      </w:tc>
      <w:tc>
        <w:tcPr>
          <w:tcW w:w="1985" w:type="dxa"/>
          <w:tcBorders>
            <w:top w:val="single" w:sz="4" w:space="0" w:color="auto"/>
            <w:left w:val="single" w:sz="18" w:space="0" w:color="auto"/>
            <w:bottom w:val="nil"/>
          </w:tcBorders>
          <w:vAlign w:val="center"/>
        </w:tcPr>
        <w:p w:rsidR="001B3D5D" w:rsidRDefault="004D5502">
          <w:pPr>
            <w:pStyle w:val="zMELogo"/>
            <w:rPr>
              <w:rFonts w:ascii="Arial" w:hAnsi="Arial"/>
              <w:w w:val="85"/>
            </w:rPr>
          </w:pPr>
          <w:r>
            <w:rPr>
              <w:rFonts w:ascii="Arial" w:hAnsi="Arial"/>
              <w:w w:val="100"/>
            </w:rPr>
            <w:t xml:space="preserve"> </w:t>
          </w:r>
          <w:r>
            <w:rPr>
              <w:rFonts w:ascii="Arial" w:hAnsi="Arial"/>
              <w:b/>
              <w:i/>
              <w:spacing w:val="160"/>
              <w:w w:val="85"/>
              <w:sz w:val="16"/>
            </w:rPr>
            <w:t>LAWYER</w:t>
          </w:r>
          <w:r>
            <w:rPr>
              <w:rFonts w:ascii="Arial" w:hAnsi="Arial"/>
              <w:b/>
              <w:i/>
              <w:w w:val="85"/>
              <w:sz w:val="16"/>
            </w:rPr>
            <w:t>S</w:t>
          </w:r>
        </w:p>
      </w:tc>
    </w:tr>
  </w:tbl>
  <w:p w:rsidR="001B3D5D" w:rsidRDefault="004D5502">
    <w:pPr>
      <w:pStyle w:val="Footer"/>
      <w:tabs>
        <w:tab w:val="center" w:pos="4678"/>
      </w:tabs>
    </w:pPr>
    <w:r>
      <w:fldChar w:fldCharType="begin"/>
    </w:r>
    <w:r>
      <w:instrText xml:space="preserve"> DOCPROPERTY DocumentID \* MERGEFORMAT </w:instrText>
    </w:r>
    <w:r>
      <w:fldChar w:fldCharType="separate"/>
    </w:r>
    <w:r>
      <w:rPr>
        <w:color w:val="191919"/>
        <w:sz w:val="13"/>
      </w:rPr>
      <w:t>ME_116675713_6 (W2007)</w:t>
    </w:r>
    <w:r>
      <w:rPr>
        <w:color w:val="191919"/>
        <w:sz w:val="13"/>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D5D" w:rsidRDefault="004D5502">
    <w:pPr>
      <w:pStyle w:val="Footer"/>
      <w:tabs>
        <w:tab w:val="center" w:pos="4678"/>
      </w:tabs>
    </w:pPr>
    <w:r>
      <w:fldChar w:fldCharType="begin"/>
    </w:r>
    <w:r>
      <w:instrText xml:space="preserve"> DOCPROPERTY DocumentID \* MERGEFORMAT </w:instrText>
    </w:r>
    <w:r>
      <w:fldChar w:fldCharType="separate"/>
    </w:r>
    <w:r>
      <w:rPr>
        <w:color w:val="191919"/>
        <w:sz w:val="13"/>
      </w:rPr>
      <w:t>ME_116675713_6 (W2007)</w:t>
    </w:r>
    <w:r>
      <w:rPr>
        <w:color w:val="191919"/>
        <w:sz w:val="13"/>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686" w:type="dxa"/>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1985"/>
    </w:tblGrid>
    <w:tr w:rsidR="001B3D5D">
      <w:trPr>
        <w:cantSplit/>
        <w:trHeight w:hRule="exact" w:val="837"/>
      </w:trPr>
      <w:tc>
        <w:tcPr>
          <w:tcW w:w="3685" w:type="dxa"/>
          <w:tcBorders>
            <w:top w:val="nil"/>
            <w:left w:val="nil"/>
            <w:bottom w:val="nil"/>
            <w:right w:val="nil"/>
          </w:tcBorders>
          <w:vAlign w:val="bottom"/>
        </w:tcPr>
        <w:p w:rsidR="001B3D5D" w:rsidRDefault="004D5502">
          <w:pPr>
            <w:pStyle w:val="zMELogo"/>
            <w:spacing w:line="620" w:lineRule="exact"/>
            <w:rPr>
              <w:sz w:val="22"/>
            </w:rPr>
          </w:pPr>
          <w:r>
            <w:rPr>
              <w:spacing w:val="-20"/>
            </w:rPr>
            <w:t>M</w:t>
          </w:r>
          <w:r>
            <w:rPr>
              <w:spacing w:val="-20"/>
              <w:w w:val="110"/>
            </w:rPr>
            <w:t>int</w:t>
          </w:r>
          <w:r>
            <w:rPr>
              <w:spacing w:val="-20"/>
            </w:rPr>
            <w:t>e</w:t>
          </w:r>
          <w:r>
            <w:rPr>
              <w:spacing w:val="-20"/>
              <w:w w:val="110"/>
            </w:rPr>
            <w:t>r</w:t>
          </w:r>
          <w:r>
            <w:rPr>
              <w:spacing w:val="-20"/>
              <w:w w:val="90"/>
            </w:rPr>
            <w:t>E</w:t>
          </w:r>
          <w:r>
            <w:rPr>
              <w:spacing w:val="-20"/>
              <w:w w:val="110"/>
            </w:rPr>
            <w:t>lli</w:t>
          </w:r>
          <w:r>
            <w:rPr>
              <w:spacing w:val="-20"/>
            </w:rPr>
            <w:t>s</w:t>
          </w:r>
          <w:r>
            <w:rPr>
              <w:spacing w:val="-20"/>
              <w:w w:val="110"/>
            </w:rPr>
            <w:t>on</w:t>
          </w:r>
        </w:p>
      </w:tc>
      <w:tc>
        <w:tcPr>
          <w:tcW w:w="1985" w:type="dxa"/>
          <w:tcBorders>
            <w:top w:val="nil"/>
            <w:left w:val="single" w:sz="18" w:space="0" w:color="auto"/>
            <w:bottom w:val="single" w:sz="4" w:space="0" w:color="auto"/>
          </w:tcBorders>
          <w:vAlign w:val="bottom"/>
        </w:tcPr>
        <w:p w:rsidR="001B3D5D" w:rsidRDefault="001B3D5D">
          <w:pPr>
            <w:pStyle w:val="zMELogo"/>
            <w:rPr>
              <w:sz w:val="22"/>
            </w:rPr>
          </w:pPr>
        </w:p>
      </w:tc>
    </w:tr>
    <w:tr w:rsidR="001B3D5D">
      <w:trPr>
        <w:cantSplit/>
        <w:trHeight w:val="300"/>
      </w:trPr>
      <w:tc>
        <w:tcPr>
          <w:tcW w:w="3685" w:type="dxa"/>
          <w:tcBorders>
            <w:top w:val="single" w:sz="4" w:space="0" w:color="auto"/>
            <w:left w:val="nil"/>
            <w:bottom w:val="nil"/>
            <w:right w:val="nil"/>
          </w:tcBorders>
        </w:tcPr>
        <w:p w:rsidR="001B3D5D" w:rsidRDefault="001B3D5D">
          <w:pPr>
            <w:pStyle w:val="zMELogo"/>
            <w:rPr>
              <w:sz w:val="22"/>
            </w:rPr>
          </w:pPr>
        </w:p>
      </w:tc>
      <w:tc>
        <w:tcPr>
          <w:tcW w:w="1985" w:type="dxa"/>
          <w:tcBorders>
            <w:top w:val="single" w:sz="4" w:space="0" w:color="auto"/>
            <w:left w:val="single" w:sz="18" w:space="0" w:color="auto"/>
            <w:bottom w:val="nil"/>
          </w:tcBorders>
          <w:vAlign w:val="center"/>
        </w:tcPr>
        <w:p w:rsidR="001B3D5D" w:rsidRDefault="004D5502">
          <w:pPr>
            <w:pStyle w:val="zMELogo"/>
            <w:rPr>
              <w:rFonts w:ascii="Arial" w:hAnsi="Arial"/>
              <w:w w:val="85"/>
            </w:rPr>
          </w:pPr>
          <w:r>
            <w:rPr>
              <w:rFonts w:ascii="Arial" w:hAnsi="Arial"/>
              <w:w w:val="100"/>
            </w:rPr>
            <w:t xml:space="preserve"> </w:t>
          </w:r>
          <w:r>
            <w:rPr>
              <w:rFonts w:ascii="Arial" w:hAnsi="Arial"/>
              <w:b/>
              <w:i/>
              <w:spacing w:val="160"/>
              <w:w w:val="85"/>
              <w:sz w:val="16"/>
            </w:rPr>
            <w:t>LAWYER</w:t>
          </w:r>
          <w:r>
            <w:rPr>
              <w:rFonts w:ascii="Arial" w:hAnsi="Arial"/>
              <w:b/>
              <w:i/>
              <w:w w:val="85"/>
              <w:sz w:val="16"/>
            </w:rPr>
            <w:t>S</w:t>
          </w:r>
        </w:p>
      </w:tc>
    </w:tr>
  </w:tbl>
  <w:p w:rsidR="001B3D5D" w:rsidRDefault="001B3D5D">
    <w:pPr>
      <w:pStyle w:val="Footer"/>
      <w:tabs>
        <w:tab w:val="center" w:pos="4678"/>
      </w:tabs>
    </w:pPr>
  </w:p>
  <w:p w:rsidR="001B3D5D" w:rsidRDefault="001B3D5D">
    <w:pPr>
      <w:pStyle w:val="Footer"/>
      <w:tabs>
        <w:tab w:val="center" w:pos="4678"/>
      </w:tabs>
    </w:pPr>
  </w:p>
  <w:p w:rsidR="001B3D5D" w:rsidRDefault="004D5502">
    <w:pPr>
      <w:pStyle w:val="Footer"/>
      <w:tabs>
        <w:tab w:val="center" w:pos="4678"/>
      </w:tabs>
    </w:pPr>
    <w:r>
      <w:fldChar w:fldCharType="begin"/>
    </w:r>
    <w:r>
      <w:instrText xml:space="preserve"> DOCPROPERTY DocumentID \* MERGEFORMAT </w:instrText>
    </w:r>
    <w:r>
      <w:fldChar w:fldCharType="separate"/>
    </w:r>
    <w:r>
      <w:rPr>
        <w:color w:val="191919"/>
        <w:sz w:val="13"/>
      </w:rPr>
      <w:t>ME_116675713_6 (W2007)</w:t>
    </w:r>
    <w:r>
      <w:rPr>
        <w:color w:val="191919"/>
        <w:sz w:val="1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D5D" w:rsidRDefault="004D5502">
      <w:r>
        <w:separator/>
      </w:r>
    </w:p>
    <w:p w:rsidR="001B3D5D" w:rsidRDefault="001B3D5D"/>
  </w:footnote>
  <w:footnote w:type="continuationSeparator" w:id="0">
    <w:p w:rsidR="001B3D5D" w:rsidRDefault="004D5502">
      <w:r>
        <w:continuationSeparator/>
      </w:r>
    </w:p>
    <w:p w:rsidR="001B3D5D" w:rsidRDefault="001B3D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502" w:rsidRDefault="004D55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502" w:rsidRDefault="004D550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502" w:rsidRDefault="004D55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D0E34A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E0E25B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0C27A68"/>
    <w:lvl w:ilvl="0">
      <w:start w:val="1"/>
      <w:numFmt w:val="decimal"/>
      <w:pStyle w:val="ListNumber2"/>
      <w:lvlText w:val="%1."/>
      <w:lvlJc w:val="left"/>
      <w:pPr>
        <w:tabs>
          <w:tab w:val="num" w:pos="643"/>
        </w:tabs>
        <w:ind w:left="643" w:hanging="360"/>
      </w:pPr>
    </w:lvl>
  </w:abstractNum>
  <w:abstractNum w:abstractNumId="4">
    <w:nsid w:val="FFFFFF80"/>
    <w:multiLevelType w:val="singleLevel"/>
    <w:tmpl w:val="203CFF0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9FA027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87E039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5684B0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9">
    <w:nsid w:val="FFFFFF89"/>
    <w:multiLevelType w:val="singleLevel"/>
    <w:tmpl w:val="FD228EDE"/>
    <w:lvl w:ilvl="0">
      <w:start w:val="1"/>
      <w:numFmt w:val="bullet"/>
      <w:pStyle w:val="ListBullet"/>
      <w:lvlText w:val=""/>
      <w:lvlJc w:val="left"/>
      <w:pPr>
        <w:tabs>
          <w:tab w:val="num" w:pos="680"/>
        </w:tabs>
        <w:ind w:left="680" w:hanging="680"/>
      </w:pPr>
      <w:rPr>
        <w:rFonts w:ascii="Symbol" w:hAnsi="Symbol" w:hint="default"/>
        <w:sz w:val="18"/>
      </w:rPr>
    </w:lvl>
  </w:abstractNum>
  <w:abstractNum w:abstractNumId="10">
    <w:nsid w:val="010E2AFF"/>
    <w:multiLevelType w:val="multilevel"/>
    <w:tmpl w:val="170A3BE0"/>
    <w:lvl w:ilvl="0">
      <w:start w:val="1"/>
      <w:numFmt w:val="decimal"/>
      <w:suff w:val="nothing"/>
      <w:lvlText w:val="Item %1 "/>
      <w:lvlJc w:val="left"/>
      <w:pPr>
        <w:ind w:left="0" w:firstLine="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680" w:hanging="680"/>
      </w:pPr>
      <w:rPr>
        <w:rFonts w:hint="default"/>
      </w:rPr>
    </w:lvl>
    <w:lvl w:ilvl="3">
      <w:start w:val="1"/>
      <w:numFmt w:val="lowerRoman"/>
      <w:lvlText w:val="(%4)"/>
      <w:lvlJc w:val="left"/>
      <w:pPr>
        <w:ind w:left="1361" w:hanging="681"/>
      </w:pPr>
      <w:rPr>
        <w:rFonts w:hint="default"/>
      </w:rPr>
    </w:lvl>
    <w:lvl w:ilvl="4">
      <w:start w:val="1"/>
      <w:numFmt w:val="upperLetter"/>
      <w:lvlText w:val="(%5)"/>
      <w:lvlJc w:val="left"/>
      <w:pPr>
        <w:ind w:left="2041" w:hanging="680"/>
      </w:pPr>
      <w:rPr>
        <w:rFonts w:hint="default"/>
      </w:rPr>
    </w:lvl>
    <w:lvl w:ilvl="5">
      <w:start w:val="1"/>
      <w:numFmt w:val="upperRoman"/>
      <w:lvlText w:val="(%6)"/>
      <w:lvlJc w:val="left"/>
      <w:pPr>
        <w:ind w:left="2041" w:hanging="680"/>
      </w:pPr>
      <w:rPr>
        <w:rFonts w:hint="default"/>
      </w:rPr>
    </w:lvl>
    <w:lvl w:ilvl="6">
      <w:start w:val="1"/>
      <w:numFmt w:val="decimal"/>
      <w:lvlText w:val="(%7)"/>
      <w:lvlJc w:val="left"/>
      <w:pPr>
        <w:ind w:left="2041" w:hanging="680"/>
      </w:pPr>
      <w:rPr>
        <w:rFonts w:hint="default"/>
      </w:rPr>
    </w:lvl>
    <w:lvl w:ilvl="7">
      <w:start w:val="1"/>
      <w:numFmt w:val="upperLetter"/>
      <w:lvlText w:val="%8."/>
      <w:lvlJc w:val="left"/>
      <w:pPr>
        <w:ind w:left="2041" w:hanging="680"/>
      </w:pPr>
      <w:rPr>
        <w:rFonts w:hint="default"/>
      </w:rPr>
    </w:lvl>
    <w:lvl w:ilvl="8">
      <w:start w:val="1"/>
      <w:numFmt w:val="upperRoman"/>
      <w:lvlText w:val="%9."/>
      <w:lvlJc w:val="left"/>
      <w:pPr>
        <w:ind w:left="2041" w:hanging="680"/>
      </w:pPr>
      <w:rPr>
        <w:rFonts w:hint="default"/>
      </w:rPr>
    </w:lvl>
  </w:abstractNum>
  <w:abstractNum w:abstractNumId="11">
    <w:nsid w:val="01123265"/>
    <w:multiLevelType w:val="multilevel"/>
    <w:tmpl w:val="4E2663EA"/>
    <w:lvl w:ilvl="0">
      <w:start w:val="1"/>
      <w:numFmt w:val="decimal"/>
      <w:lvlText w:val="SECTION %1. "/>
      <w:lvlJc w:val="left"/>
      <w:pPr>
        <w:tabs>
          <w:tab w:val="num" w:pos="1800"/>
        </w:tabs>
        <w:ind w:left="0" w:firstLine="0"/>
      </w:pPr>
      <w:rPr>
        <w:b/>
        <w:i w:val="0"/>
      </w:rPr>
    </w:lvl>
    <w:lvl w:ilvl="1">
      <w:start w:val="1"/>
      <w:numFmt w:val="decimal"/>
      <w:lvlText w:val="%1.%2"/>
      <w:lvlJc w:val="left"/>
      <w:pPr>
        <w:tabs>
          <w:tab w:val="num" w:pos="851"/>
        </w:tabs>
        <w:ind w:left="851" w:hanging="851"/>
      </w:pPr>
    </w:lvl>
    <w:lvl w:ilvl="2">
      <w:start w:val="1"/>
      <w:numFmt w:val="lowerLetter"/>
      <w:lvlText w:val="(%3)"/>
      <w:lvlJc w:val="left"/>
      <w:pPr>
        <w:tabs>
          <w:tab w:val="num" w:pos="1701"/>
        </w:tabs>
        <w:ind w:left="1701" w:hanging="850"/>
      </w:pPr>
    </w:lvl>
    <w:lvl w:ilvl="3">
      <w:start w:val="1"/>
      <w:numFmt w:val="lowerRoman"/>
      <w:pStyle w:val="MENoIndent1"/>
      <w:lvlText w:val="(%4)"/>
      <w:lvlJc w:val="left"/>
      <w:pPr>
        <w:tabs>
          <w:tab w:val="num" w:pos="2552"/>
        </w:tabs>
        <w:ind w:left="2552" w:hanging="851"/>
      </w:pPr>
    </w:lvl>
    <w:lvl w:ilvl="4">
      <w:start w:val="1"/>
      <w:numFmt w:val="upperLetter"/>
      <w:pStyle w:val="MENoIndent2"/>
      <w:lvlText w:val="(%5)"/>
      <w:lvlJc w:val="left"/>
      <w:pPr>
        <w:tabs>
          <w:tab w:val="num" w:pos="3402"/>
        </w:tabs>
        <w:ind w:left="3402" w:hanging="850"/>
      </w:pPr>
    </w:lvl>
    <w:lvl w:ilvl="5">
      <w:start w:val="1"/>
      <w:numFmt w:val="upperRoman"/>
      <w:pStyle w:val="MENoIndent3"/>
      <w:lvlText w:val="(%6)"/>
      <w:lvlJc w:val="left"/>
      <w:pPr>
        <w:tabs>
          <w:tab w:val="num" w:pos="4253"/>
        </w:tabs>
        <w:ind w:left="4253" w:hanging="851"/>
      </w:pPr>
    </w:lvl>
    <w:lvl w:ilvl="6">
      <w:start w:val="1"/>
      <w:numFmt w:val="upperRoman"/>
      <w:pStyle w:val="MENoIndent4"/>
      <w:lvlText w:val="(%7)"/>
      <w:lvlJc w:val="left"/>
      <w:pPr>
        <w:tabs>
          <w:tab w:val="num" w:pos="5103"/>
        </w:tabs>
        <w:ind w:left="5103" w:hanging="85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2">
    <w:nsid w:val="05792DB1"/>
    <w:multiLevelType w:val="multilevel"/>
    <w:tmpl w:val="FF46BAF8"/>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041"/>
        </w:tabs>
        <w:ind w:left="2722" w:hanging="681"/>
      </w:pPr>
      <w:rPr>
        <w:rFonts w:hint="default"/>
      </w:rPr>
    </w:lvl>
    <w:lvl w:ilvl="5">
      <w:start w:val="1"/>
      <w:numFmt w:val="upperRoman"/>
      <w:lvlText w:val="(%6)"/>
      <w:lvlJc w:val="left"/>
      <w:pPr>
        <w:tabs>
          <w:tab w:val="num" w:pos="2722"/>
        </w:tabs>
        <w:ind w:left="3402" w:hanging="68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nsid w:val="08374C0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8CA5CEB"/>
    <w:multiLevelType w:val="multilevel"/>
    <w:tmpl w:val="A6D836F0"/>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0A713291"/>
    <w:multiLevelType w:val="singleLevel"/>
    <w:tmpl w:val="1548B9BE"/>
    <w:lvl w:ilvl="0">
      <w:start w:val="1"/>
      <w:numFmt w:val="decimal"/>
      <w:pStyle w:val="Item"/>
      <w:lvlText w:val="Item %1"/>
      <w:lvlJc w:val="left"/>
      <w:pPr>
        <w:tabs>
          <w:tab w:val="num" w:pos="1080"/>
        </w:tabs>
        <w:ind w:left="360" w:hanging="360"/>
      </w:pPr>
    </w:lvl>
  </w:abstractNum>
  <w:abstractNum w:abstractNumId="16">
    <w:nsid w:val="0A8E2843"/>
    <w:multiLevelType w:val="multilevel"/>
    <w:tmpl w:val="0C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7">
    <w:nsid w:val="0B346C8B"/>
    <w:multiLevelType w:val="multilevel"/>
    <w:tmpl w:val="DB4A454C"/>
    <w:lvl w:ilvl="0">
      <w:start w:val="1"/>
      <w:numFmt w:val="upperLetter"/>
      <w:lvlText w:val="%1"/>
      <w:lvlJc w:val="left"/>
      <w:pPr>
        <w:tabs>
          <w:tab w:val="num" w:pos="680"/>
        </w:tabs>
        <w:ind w:left="680" w:hanging="680"/>
      </w:pPr>
      <w:rPr>
        <w:rFonts w:ascii="Arial" w:hAnsi="Arial" w:hint="default"/>
        <w:sz w:val="20"/>
      </w:rPr>
    </w:lvl>
    <w:lvl w:ilvl="1">
      <w:start w:val="1"/>
      <w:numFmt w:val="lowerRoman"/>
      <w:lvlText w:val="(%2)"/>
      <w:lvlJc w:val="left"/>
      <w:pPr>
        <w:tabs>
          <w:tab w:val="num" w:pos="1361"/>
        </w:tabs>
        <w:ind w:left="1361" w:hanging="681"/>
      </w:pPr>
      <w:rPr>
        <w:rFonts w:hint="default"/>
      </w:rPr>
    </w:lvl>
    <w:lvl w:ilvl="2">
      <w:start w:val="1"/>
      <w:numFmt w:val="lowerLetter"/>
      <w:lvlText w:val="(%3)"/>
      <w:lvlJc w:val="left"/>
      <w:pPr>
        <w:tabs>
          <w:tab w:val="num" w:pos="2041"/>
        </w:tabs>
        <w:ind w:left="2041" w:hanging="6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rPr>
        <w:rFonts w:hint="default"/>
      </w:rPr>
    </w:lvl>
  </w:abstractNum>
  <w:abstractNum w:abstractNumId="18">
    <w:nsid w:val="0B5C057F"/>
    <w:multiLevelType w:val="multilevel"/>
    <w:tmpl w:val="F0D24A5A"/>
    <w:lvl w:ilvl="0">
      <w:start w:val="1"/>
      <w:numFmt w:val="upperLetter"/>
      <w:lvlText w:val="%1"/>
      <w:lvlJc w:val="left"/>
      <w:pPr>
        <w:ind w:left="680" w:hanging="680"/>
      </w:pPr>
      <w:rPr>
        <w:rFonts w:ascii="Arial" w:hAnsi="Arial" w:hint="default"/>
        <w:b w:val="0"/>
        <w:i w:val="0"/>
        <w:sz w:val="20"/>
      </w:rPr>
    </w:lvl>
    <w:lvl w:ilvl="1">
      <w:start w:val="1"/>
      <w:numFmt w:val="lowerRoman"/>
      <w:lvlText w:val="(%2)"/>
      <w:lvlJc w:val="left"/>
      <w:pPr>
        <w:ind w:left="1361" w:hanging="681"/>
      </w:pPr>
      <w:rPr>
        <w:rFonts w:hint="default"/>
      </w:rPr>
    </w:lvl>
    <w:lvl w:ilvl="2">
      <w:start w:val="1"/>
      <w:numFmt w:val="lowerLetter"/>
      <w:lvlText w:val="(%3)"/>
      <w:lvlJc w:val="left"/>
      <w:pPr>
        <w:tabs>
          <w:tab w:val="num" w:pos="1361"/>
        </w:tabs>
        <w:ind w:left="2041" w:hanging="68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nsid w:val="0CF5348E"/>
    <w:multiLevelType w:val="multilevel"/>
    <w:tmpl w:val="578C1EBA"/>
    <w:numStyleLink w:val="Schedule"/>
  </w:abstractNum>
  <w:abstractNum w:abstractNumId="20">
    <w:nsid w:val="0D634B75"/>
    <w:multiLevelType w:val="multilevel"/>
    <w:tmpl w:val="ED86E9A2"/>
    <w:styleLink w:val="MEBasic"/>
    <w:lvl w:ilvl="0">
      <w:start w:val="1"/>
      <w:numFmt w:val="decimal"/>
      <w:pStyle w:val="MEBasic1"/>
      <w:lvlText w:val="%1."/>
      <w:lvlJc w:val="left"/>
      <w:pPr>
        <w:ind w:left="680" w:hanging="680"/>
      </w:pPr>
      <w:rPr>
        <w:rFonts w:hint="default"/>
      </w:rPr>
    </w:lvl>
    <w:lvl w:ilvl="1">
      <w:start w:val="1"/>
      <w:numFmt w:val="decimal"/>
      <w:pStyle w:val="MEBasic2"/>
      <w:lvlText w:val="%1.%2"/>
      <w:lvlJc w:val="left"/>
      <w:pPr>
        <w:ind w:left="680" w:hanging="680"/>
      </w:pPr>
      <w:rPr>
        <w:rFonts w:hint="default"/>
      </w:rPr>
    </w:lvl>
    <w:lvl w:ilvl="2">
      <w:start w:val="1"/>
      <w:numFmt w:val="lowerLetter"/>
      <w:pStyle w:val="MEBasic3"/>
      <w:lvlText w:val="(%3)"/>
      <w:lvlJc w:val="left"/>
      <w:pPr>
        <w:ind w:left="1361" w:hanging="681"/>
      </w:pPr>
      <w:rPr>
        <w:rFonts w:hint="default"/>
      </w:rPr>
    </w:lvl>
    <w:lvl w:ilvl="3">
      <w:start w:val="1"/>
      <w:numFmt w:val="lowerRoman"/>
      <w:pStyle w:val="MEBasic4"/>
      <w:lvlText w:val="(%4)"/>
      <w:lvlJc w:val="left"/>
      <w:pPr>
        <w:ind w:left="2041" w:hanging="680"/>
      </w:pPr>
      <w:rPr>
        <w:rFonts w:hint="default"/>
      </w:rPr>
    </w:lvl>
    <w:lvl w:ilvl="4">
      <w:start w:val="1"/>
      <w:numFmt w:val="upperLetter"/>
      <w:pStyle w:val="MEBasic5"/>
      <w:lvlText w:val="(%5)"/>
      <w:lvlJc w:val="left"/>
      <w:pPr>
        <w:tabs>
          <w:tab w:val="num" w:pos="2722"/>
        </w:tabs>
        <w:ind w:left="2722" w:hanging="681"/>
      </w:pPr>
      <w:rPr>
        <w:rFonts w:hint="default"/>
      </w:rPr>
    </w:lvl>
    <w:lvl w:ilvl="5">
      <w:start w:val="1"/>
      <w:numFmt w:val="upperRoman"/>
      <w:pStyle w:val="MEBasic6"/>
      <w:lvlText w:val="(%6)"/>
      <w:lvlJc w:val="left"/>
      <w:pPr>
        <w:tabs>
          <w:tab w:val="num" w:pos="3402"/>
        </w:tabs>
        <w:ind w:left="3402" w:hanging="680"/>
      </w:pPr>
      <w:rPr>
        <w:rFonts w:hint="default"/>
      </w:rPr>
    </w:lvl>
    <w:lvl w:ilvl="6">
      <w:start w:val="1"/>
      <w:numFmt w:val="decimal"/>
      <w:pStyle w:val="MEBasic7"/>
      <w:lvlText w:val="(%7)"/>
      <w:lvlJc w:val="left"/>
      <w:pPr>
        <w:tabs>
          <w:tab w:val="num" w:pos="4082"/>
        </w:tabs>
        <w:ind w:left="4082" w:hanging="680"/>
      </w:pPr>
      <w:rPr>
        <w:rFonts w:hint="default"/>
      </w:rPr>
    </w:lvl>
    <w:lvl w:ilvl="7">
      <w:start w:val="1"/>
      <w:numFmt w:val="upperLetter"/>
      <w:pStyle w:val="MEBasic8"/>
      <w:lvlText w:val="%8."/>
      <w:lvlJc w:val="left"/>
      <w:pPr>
        <w:tabs>
          <w:tab w:val="num" w:pos="4763"/>
        </w:tabs>
        <w:ind w:left="4763" w:hanging="681"/>
      </w:pPr>
      <w:rPr>
        <w:rFonts w:hint="default"/>
      </w:rPr>
    </w:lvl>
    <w:lvl w:ilvl="8">
      <w:start w:val="1"/>
      <w:numFmt w:val="upperRoman"/>
      <w:pStyle w:val="MEBasic9"/>
      <w:lvlText w:val="%9."/>
      <w:lvlJc w:val="left"/>
      <w:pPr>
        <w:tabs>
          <w:tab w:val="num" w:pos="5443"/>
        </w:tabs>
        <w:ind w:left="5443" w:hanging="680"/>
      </w:pPr>
      <w:rPr>
        <w:rFonts w:hint="default"/>
      </w:rPr>
    </w:lvl>
  </w:abstractNum>
  <w:abstractNum w:abstractNumId="21">
    <w:nsid w:val="105D7E5A"/>
    <w:multiLevelType w:val="multilevel"/>
    <w:tmpl w:val="4738B06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041"/>
        </w:tabs>
        <w:ind w:left="2722" w:hanging="681"/>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nsid w:val="12144291"/>
    <w:multiLevelType w:val="hybridMultilevel"/>
    <w:tmpl w:val="CC3A8072"/>
    <w:lvl w:ilvl="0" w:tplc="EC68DABE">
      <w:start w:val="1"/>
      <w:numFmt w:val="lowerRoman"/>
      <w:lvlText w:val="%1)"/>
      <w:lvlJc w:val="left"/>
      <w:pPr>
        <w:tabs>
          <w:tab w:val="num" w:pos="1080"/>
        </w:tabs>
        <w:ind w:left="1080" w:hanging="360"/>
      </w:pPr>
      <w:rPr>
        <w:rFonts w:hint="default"/>
      </w:rPr>
    </w:lvl>
    <w:lvl w:ilvl="1" w:tplc="34782F28" w:tentative="1">
      <w:start w:val="1"/>
      <w:numFmt w:val="lowerLetter"/>
      <w:lvlText w:val="%2."/>
      <w:lvlJc w:val="left"/>
      <w:pPr>
        <w:ind w:left="1440" w:hanging="360"/>
      </w:pPr>
    </w:lvl>
    <w:lvl w:ilvl="2" w:tplc="9DBA7774" w:tentative="1">
      <w:start w:val="1"/>
      <w:numFmt w:val="lowerRoman"/>
      <w:lvlText w:val="%3."/>
      <w:lvlJc w:val="right"/>
      <w:pPr>
        <w:ind w:left="2160" w:hanging="180"/>
      </w:pPr>
    </w:lvl>
    <w:lvl w:ilvl="3" w:tplc="34D89B96" w:tentative="1">
      <w:start w:val="1"/>
      <w:numFmt w:val="decimal"/>
      <w:lvlText w:val="%4."/>
      <w:lvlJc w:val="left"/>
      <w:pPr>
        <w:ind w:left="2880" w:hanging="360"/>
      </w:pPr>
    </w:lvl>
    <w:lvl w:ilvl="4" w:tplc="4016D558" w:tentative="1">
      <w:start w:val="1"/>
      <w:numFmt w:val="lowerLetter"/>
      <w:lvlText w:val="%5."/>
      <w:lvlJc w:val="left"/>
      <w:pPr>
        <w:ind w:left="3600" w:hanging="360"/>
      </w:pPr>
    </w:lvl>
    <w:lvl w:ilvl="5" w:tplc="4A840A84" w:tentative="1">
      <w:start w:val="1"/>
      <w:numFmt w:val="lowerRoman"/>
      <w:lvlText w:val="%6."/>
      <w:lvlJc w:val="right"/>
      <w:pPr>
        <w:ind w:left="4320" w:hanging="180"/>
      </w:pPr>
    </w:lvl>
    <w:lvl w:ilvl="6" w:tplc="AC70CB50" w:tentative="1">
      <w:start w:val="1"/>
      <w:numFmt w:val="decimal"/>
      <w:lvlText w:val="%7."/>
      <w:lvlJc w:val="left"/>
      <w:pPr>
        <w:ind w:left="5040" w:hanging="360"/>
      </w:pPr>
    </w:lvl>
    <w:lvl w:ilvl="7" w:tplc="500C58D2" w:tentative="1">
      <w:start w:val="1"/>
      <w:numFmt w:val="lowerLetter"/>
      <w:lvlText w:val="%8."/>
      <w:lvlJc w:val="left"/>
      <w:pPr>
        <w:ind w:left="5760" w:hanging="360"/>
      </w:pPr>
    </w:lvl>
    <w:lvl w:ilvl="8" w:tplc="D5E66D08" w:tentative="1">
      <w:start w:val="1"/>
      <w:numFmt w:val="lowerRoman"/>
      <w:lvlText w:val="%9."/>
      <w:lvlJc w:val="right"/>
      <w:pPr>
        <w:ind w:left="6480" w:hanging="180"/>
      </w:pPr>
    </w:lvl>
  </w:abstractNum>
  <w:abstractNum w:abstractNumId="23">
    <w:nsid w:val="1A765FFA"/>
    <w:multiLevelType w:val="multilevel"/>
    <w:tmpl w:val="2954FB66"/>
    <w:lvl w:ilvl="0">
      <w:start w:val="1"/>
      <w:numFmt w:val="none"/>
      <w:lvlText w:val="%1"/>
      <w:lvlJc w:val="left"/>
      <w:pPr>
        <w:tabs>
          <w:tab w:val="num" w:pos="720"/>
        </w:tabs>
        <w:ind w:left="720" w:hanging="720"/>
      </w:pPr>
      <w:rPr>
        <w:rFonts w:hint="default"/>
        <w:b/>
        <w:i w:val="0"/>
      </w:rPr>
    </w:lvl>
    <w:lvl w:ilvl="1">
      <w:start w:val="1"/>
      <w:numFmt w:val="lowerLetter"/>
      <w:lvlText w:val="(%1%2)"/>
      <w:lvlJc w:val="left"/>
      <w:pPr>
        <w:tabs>
          <w:tab w:val="num" w:pos="1440"/>
        </w:tabs>
        <w:ind w:left="1440" w:hanging="720"/>
      </w:pPr>
      <w:rPr>
        <w:rFonts w:hint="default"/>
        <w:b w:val="0"/>
        <w:i w:val="0"/>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upperLetter"/>
      <w:lvlText w:val="(%5)"/>
      <w:lvlJc w:val="left"/>
      <w:pPr>
        <w:tabs>
          <w:tab w:val="num" w:pos="288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1C563BC9"/>
    <w:multiLevelType w:val="multilevel"/>
    <w:tmpl w:val="7B723986"/>
    <w:styleLink w:val="Definition"/>
    <w:lvl w:ilvl="0">
      <w:start w:val="1"/>
      <w:numFmt w:val="none"/>
      <w:pStyle w:val="DefinitionL1"/>
      <w:suff w:val="nothing"/>
      <w:lvlText w:val=""/>
      <w:lvlJc w:val="left"/>
      <w:pPr>
        <w:ind w:left="680" w:firstLine="0"/>
      </w:pPr>
      <w:rPr>
        <w:rFonts w:hint="default"/>
      </w:rPr>
    </w:lvl>
    <w:lvl w:ilvl="1">
      <w:start w:val="1"/>
      <w:numFmt w:val="lowerLetter"/>
      <w:pStyle w:val="DefinitionL2"/>
      <w:lvlText w:val="(%2)"/>
      <w:lvlJc w:val="left"/>
      <w:pPr>
        <w:ind w:left="1361" w:hanging="681"/>
      </w:pPr>
      <w:rPr>
        <w:rFonts w:hint="default"/>
      </w:rPr>
    </w:lvl>
    <w:lvl w:ilvl="2">
      <w:start w:val="1"/>
      <w:numFmt w:val="lowerRoman"/>
      <w:pStyle w:val="DefinitionL3"/>
      <w:lvlText w:val="(%3)"/>
      <w:lvlJc w:val="left"/>
      <w:pPr>
        <w:tabs>
          <w:tab w:val="num" w:pos="2041"/>
        </w:tabs>
        <w:ind w:left="2041" w:hanging="680"/>
      </w:pPr>
      <w:rPr>
        <w:rFonts w:hint="default"/>
      </w:rPr>
    </w:lvl>
    <w:lvl w:ilvl="3">
      <w:start w:val="1"/>
      <w:numFmt w:val="upperLetter"/>
      <w:pStyle w:val="DefinitionL4"/>
      <w:lvlText w:val="(%4)"/>
      <w:lvlJc w:val="left"/>
      <w:pPr>
        <w:tabs>
          <w:tab w:val="num" w:pos="2722"/>
        </w:tabs>
        <w:ind w:left="2722" w:hanging="681"/>
      </w:pPr>
      <w:rPr>
        <w:rFonts w:hint="default"/>
      </w:rPr>
    </w:lvl>
    <w:lvl w:ilvl="4">
      <w:start w:val="1"/>
      <w:numFmt w:val="upperRoman"/>
      <w:pStyle w:val="DefinitionL5"/>
      <w:lvlText w:val="(%5)"/>
      <w:lvlJc w:val="left"/>
      <w:pPr>
        <w:tabs>
          <w:tab w:val="num" w:pos="3402"/>
        </w:tabs>
        <w:ind w:left="3402" w:hanging="680"/>
      </w:pPr>
      <w:rPr>
        <w:rFonts w:hint="default"/>
      </w:rPr>
    </w:lvl>
    <w:lvl w:ilvl="5">
      <w:start w:val="1"/>
      <w:numFmt w:val="decimal"/>
      <w:pStyle w:val="DefinitionL6"/>
      <w:lvlText w:val="(%6)"/>
      <w:lvlJc w:val="left"/>
      <w:pPr>
        <w:tabs>
          <w:tab w:val="num" w:pos="4082"/>
        </w:tabs>
        <w:ind w:left="4082" w:hanging="680"/>
      </w:pPr>
      <w:rPr>
        <w:rFonts w:hint="default"/>
      </w:rPr>
    </w:lvl>
    <w:lvl w:ilvl="6">
      <w:start w:val="1"/>
      <w:numFmt w:val="upperLetter"/>
      <w:pStyle w:val="DefinitionL7"/>
      <w:lvlText w:val="%7."/>
      <w:lvlJc w:val="left"/>
      <w:pPr>
        <w:tabs>
          <w:tab w:val="num" w:pos="4763"/>
        </w:tabs>
        <w:ind w:left="4763" w:hanging="681"/>
      </w:pPr>
      <w:rPr>
        <w:rFonts w:hint="default"/>
      </w:rPr>
    </w:lvl>
    <w:lvl w:ilvl="7">
      <w:start w:val="1"/>
      <w:numFmt w:val="upperRoman"/>
      <w:pStyle w:val="DefinitionL8"/>
      <w:lvlText w:val="%8."/>
      <w:lvlJc w:val="left"/>
      <w:pPr>
        <w:tabs>
          <w:tab w:val="num" w:pos="5443"/>
        </w:tabs>
        <w:ind w:left="5443" w:hanging="680"/>
      </w:pPr>
      <w:rPr>
        <w:rFonts w:hint="default"/>
      </w:rPr>
    </w:lvl>
    <w:lvl w:ilvl="8">
      <w:start w:val="1"/>
      <w:numFmt w:val="lowerLetter"/>
      <w:pStyle w:val="DefinitionL9"/>
      <w:lvlText w:val="%9."/>
      <w:lvlJc w:val="left"/>
      <w:pPr>
        <w:tabs>
          <w:tab w:val="num" w:pos="6124"/>
        </w:tabs>
        <w:ind w:left="6124" w:hanging="681"/>
      </w:pPr>
      <w:rPr>
        <w:rFonts w:hint="default"/>
      </w:rPr>
    </w:lvl>
  </w:abstractNum>
  <w:abstractNum w:abstractNumId="25">
    <w:nsid w:val="1FA53F22"/>
    <w:multiLevelType w:val="multilevel"/>
    <w:tmpl w:val="578C1EBA"/>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ind w:left="4082" w:hanging="680"/>
      </w:pPr>
      <w:rPr>
        <w:rFonts w:hint="default"/>
      </w:rPr>
    </w:lvl>
    <w:lvl w:ilvl="8">
      <w:start w:val="1"/>
      <w:numFmt w:val="upperLetter"/>
      <w:pStyle w:val="ScheduleL9"/>
      <w:lvlText w:val="%9."/>
      <w:lvlJc w:val="left"/>
      <w:pPr>
        <w:ind w:left="4763" w:hanging="681"/>
      </w:pPr>
      <w:rPr>
        <w:rFonts w:hint="default"/>
      </w:rPr>
    </w:lvl>
  </w:abstractNum>
  <w:abstractNum w:abstractNumId="26">
    <w:nsid w:val="200D45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21A44417"/>
    <w:multiLevelType w:val="singleLevel"/>
    <w:tmpl w:val="0616E96A"/>
    <w:lvl w:ilvl="0">
      <w:start w:val="1"/>
      <w:numFmt w:val="bullet"/>
      <w:lvlText w:val=""/>
      <w:lvlJc w:val="left"/>
      <w:pPr>
        <w:tabs>
          <w:tab w:val="num" w:pos="680"/>
        </w:tabs>
        <w:ind w:left="680" w:hanging="680"/>
      </w:pPr>
      <w:rPr>
        <w:rFonts w:ascii="Symbol" w:hAnsi="Symbol" w:hint="default"/>
        <w:sz w:val="18"/>
      </w:rPr>
    </w:lvl>
  </w:abstractNum>
  <w:abstractNum w:abstractNumId="28">
    <w:nsid w:val="257D71C2"/>
    <w:multiLevelType w:val="hybridMultilevel"/>
    <w:tmpl w:val="D83286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26611975"/>
    <w:multiLevelType w:val="hybridMultilevel"/>
    <w:tmpl w:val="CC3A8072"/>
    <w:lvl w:ilvl="0" w:tplc="8068852A">
      <w:start w:val="1"/>
      <w:numFmt w:val="lowerRoman"/>
      <w:lvlText w:val="%1)"/>
      <w:lvlJc w:val="left"/>
      <w:pPr>
        <w:tabs>
          <w:tab w:val="num" w:pos="1080"/>
        </w:tabs>
        <w:ind w:left="1080" w:hanging="360"/>
      </w:pPr>
      <w:rPr>
        <w:rFonts w:hint="default"/>
      </w:rPr>
    </w:lvl>
    <w:lvl w:ilvl="1" w:tplc="1478891A" w:tentative="1">
      <w:start w:val="1"/>
      <w:numFmt w:val="lowerLetter"/>
      <w:lvlText w:val="%2."/>
      <w:lvlJc w:val="left"/>
      <w:pPr>
        <w:ind w:left="1440" w:hanging="360"/>
      </w:pPr>
    </w:lvl>
    <w:lvl w:ilvl="2" w:tplc="316662EA" w:tentative="1">
      <w:start w:val="1"/>
      <w:numFmt w:val="lowerRoman"/>
      <w:lvlText w:val="%3."/>
      <w:lvlJc w:val="right"/>
      <w:pPr>
        <w:ind w:left="2160" w:hanging="180"/>
      </w:pPr>
    </w:lvl>
    <w:lvl w:ilvl="3" w:tplc="1C962F1A" w:tentative="1">
      <w:start w:val="1"/>
      <w:numFmt w:val="decimal"/>
      <w:lvlText w:val="%4."/>
      <w:lvlJc w:val="left"/>
      <w:pPr>
        <w:ind w:left="2880" w:hanging="360"/>
      </w:pPr>
    </w:lvl>
    <w:lvl w:ilvl="4" w:tplc="553EA532" w:tentative="1">
      <w:start w:val="1"/>
      <w:numFmt w:val="lowerLetter"/>
      <w:lvlText w:val="%5."/>
      <w:lvlJc w:val="left"/>
      <w:pPr>
        <w:ind w:left="3600" w:hanging="360"/>
      </w:pPr>
    </w:lvl>
    <w:lvl w:ilvl="5" w:tplc="DDE07692" w:tentative="1">
      <w:start w:val="1"/>
      <w:numFmt w:val="lowerRoman"/>
      <w:lvlText w:val="%6."/>
      <w:lvlJc w:val="right"/>
      <w:pPr>
        <w:ind w:left="4320" w:hanging="180"/>
      </w:pPr>
    </w:lvl>
    <w:lvl w:ilvl="6" w:tplc="422CEA76" w:tentative="1">
      <w:start w:val="1"/>
      <w:numFmt w:val="decimal"/>
      <w:lvlText w:val="%7."/>
      <w:lvlJc w:val="left"/>
      <w:pPr>
        <w:ind w:left="5040" w:hanging="360"/>
      </w:pPr>
    </w:lvl>
    <w:lvl w:ilvl="7" w:tplc="5C024CD8" w:tentative="1">
      <w:start w:val="1"/>
      <w:numFmt w:val="lowerLetter"/>
      <w:lvlText w:val="%8."/>
      <w:lvlJc w:val="left"/>
      <w:pPr>
        <w:ind w:left="5760" w:hanging="360"/>
      </w:pPr>
    </w:lvl>
    <w:lvl w:ilvl="8" w:tplc="85E66396" w:tentative="1">
      <w:start w:val="1"/>
      <w:numFmt w:val="lowerRoman"/>
      <w:lvlText w:val="%9."/>
      <w:lvlJc w:val="right"/>
      <w:pPr>
        <w:ind w:left="6480" w:hanging="180"/>
      </w:pPr>
    </w:lvl>
  </w:abstractNum>
  <w:abstractNum w:abstractNumId="30">
    <w:nsid w:val="26AD0474"/>
    <w:multiLevelType w:val="multilevel"/>
    <w:tmpl w:val="7A02404C"/>
    <w:lvl w:ilvl="0">
      <w:start w:val="1"/>
      <w:numFmt w:val="decimal"/>
      <w:lvlText w:val="%1."/>
      <w:lvlJc w:val="left"/>
      <w:pPr>
        <w:ind w:left="680" w:hanging="680"/>
      </w:pPr>
      <w:rPr>
        <w:rFonts w:hint="default"/>
      </w:rPr>
    </w:lvl>
    <w:lvl w:ilvl="1">
      <w:start w:val="1"/>
      <w:numFmt w:val="decimal"/>
      <w:lvlText w:val="%1.%2"/>
      <w:lvlJc w:val="left"/>
      <w:pPr>
        <w:ind w:left="2098"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041"/>
        </w:tabs>
        <w:ind w:left="2722" w:hanging="681"/>
      </w:pPr>
      <w:rPr>
        <w:rFonts w:hint="default"/>
      </w:rPr>
    </w:lvl>
    <w:lvl w:ilvl="5">
      <w:start w:val="1"/>
      <w:numFmt w:val="upperRoman"/>
      <w:lvlText w:val="(%6)"/>
      <w:lvlJc w:val="left"/>
      <w:pPr>
        <w:tabs>
          <w:tab w:val="num" w:pos="2722"/>
        </w:tabs>
        <w:ind w:left="3402" w:hanging="68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nsid w:val="27FF104C"/>
    <w:multiLevelType w:val="multilevel"/>
    <w:tmpl w:val="8EB2D7AC"/>
    <w:lvl w:ilvl="0">
      <w:start w:val="1"/>
      <w:numFmt w:val="decimal"/>
      <w:suff w:val="nothing"/>
      <w:lvlText w:val="Schedule %1"/>
      <w:lvlJc w:val="left"/>
      <w:pPr>
        <w:ind w:left="0" w:firstLine="0"/>
      </w:pPr>
      <w:rPr>
        <w:rFonts w:hint="default"/>
      </w:rPr>
    </w:lvl>
    <w:lvl w:ilvl="1">
      <w:start w:val="1"/>
      <w:numFmt w:val="decimal"/>
      <w:lvlText w:val="%2."/>
      <w:lvlJc w:val="left"/>
      <w:pPr>
        <w:ind w:left="680" w:hanging="680"/>
      </w:pPr>
      <w:rPr>
        <w:rFonts w:hint="default"/>
      </w:rPr>
    </w:lvl>
    <w:lvl w:ilvl="2">
      <w:start w:val="1"/>
      <w:numFmt w:val="decimal"/>
      <w:lvlText w:val="%2.%3"/>
      <w:lvlJc w:val="left"/>
      <w:pPr>
        <w:ind w:left="680" w:hanging="680"/>
      </w:pPr>
      <w:rPr>
        <w:rFonts w:hint="default"/>
      </w:rPr>
    </w:lvl>
    <w:lvl w:ilvl="3">
      <w:start w:val="1"/>
      <w:numFmt w:val="lowerLetter"/>
      <w:lvlText w:val="(%4)"/>
      <w:lvlJc w:val="left"/>
      <w:pPr>
        <w:ind w:left="1361" w:hanging="681"/>
      </w:pPr>
      <w:rPr>
        <w:rFonts w:hint="default"/>
      </w:rPr>
    </w:lvl>
    <w:lvl w:ilvl="4">
      <w:start w:val="1"/>
      <w:numFmt w:val="lowerRoman"/>
      <w:lvlText w:val="(%5)"/>
      <w:lvlJc w:val="left"/>
      <w:pPr>
        <w:ind w:left="2041" w:hanging="680"/>
      </w:pPr>
      <w:rPr>
        <w:rFonts w:hint="default"/>
      </w:rPr>
    </w:lvl>
    <w:lvl w:ilvl="5">
      <w:start w:val="1"/>
      <w:numFmt w:val="upperLetter"/>
      <w:lvlText w:val="(%6)"/>
      <w:lvlJc w:val="left"/>
      <w:pPr>
        <w:ind w:left="2722" w:hanging="681"/>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nsid w:val="2B692152"/>
    <w:multiLevelType w:val="multilevel"/>
    <w:tmpl w:val="8B388448"/>
    <w:styleLink w:val="MELegal"/>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ind w:left="5443" w:hanging="680"/>
      </w:pPr>
      <w:rPr>
        <w:rFonts w:hint="default"/>
      </w:rPr>
    </w:lvl>
  </w:abstractNum>
  <w:abstractNum w:abstractNumId="33">
    <w:nsid w:val="2C114F38"/>
    <w:multiLevelType w:val="multilevel"/>
    <w:tmpl w:val="260AAAA0"/>
    <w:styleLink w:val="Part"/>
    <w:lvl w:ilvl="0">
      <w:start w:val="1"/>
      <w:numFmt w:val="upperLetter"/>
      <w:pStyle w:val="PartL1"/>
      <w:suff w:val="nothing"/>
      <w:lvlText w:val="Part %1"/>
      <w:lvlJc w:val="left"/>
      <w:pPr>
        <w:ind w:left="0" w:firstLine="0"/>
      </w:pPr>
      <w:rPr>
        <w:rFonts w:hint="default"/>
      </w:rPr>
    </w:lvl>
    <w:lvl w:ilvl="1">
      <w:start w:val="1"/>
      <w:numFmt w:val="decimal"/>
      <w:pStyle w:val="PartL2"/>
      <w:lvlText w:val="%2."/>
      <w:lvlJc w:val="left"/>
      <w:pPr>
        <w:ind w:left="680" w:hanging="680"/>
      </w:pPr>
      <w:rPr>
        <w:rFonts w:hint="default"/>
      </w:rPr>
    </w:lvl>
    <w:lvl w:ilvl="2">
      <w:start w:val="1"/>
      <w:numFmt w:val="decimal"/>
      <w:pStyle w:val="PartL3"/>
      <w:lvlText w:val="%2.%3"/>
      <w:lvlJc w:val="left"/>
      <w:pPr>
        <w:ind w:left="680" w:hanging="680"/>
      </w:pPr>
      <w:rPr>
        <w:rFonts w:hint="default"/>
      </w:rPr>
    </w:lvl>
    <w:lvl w:ilvl="3">
      <w:start w:val="1"/>
      <w:numFmt w:val="lowerLetter"/>
      <w:pStyle w:val="PartL4"/>
      <w:lvlText w:val="(%4)"/>
      <w:lvlJc w:val="left"/>
      <w:pPr>
        <w:tabs>
          <w:tab w:val="num" w:pos="1361"/>
        </w:tabs>
        <w:ind w:left="1361" w:hanging="681"/>
      </w:pPr>
      <w:rPr>
        <w:rFonts w:hint="default"/>
      </w:rPr>
    </w:lvl>
    <w:lvl w:ilvl="4">
      <w:start w:val="1"/>
      <w:numFmt w:val="lowerRoman"/>
      <w:pStyle w:val="PartL5"/>
      <w:lvlText w:val="(%5)"/>
      <w:lvlJc w:val="left"/>
      <w:pPr>
        <w:ind w:left="2041" w:hanging="680"/>
      </w:pPr>
      <w:rPr>
        <w:rFonts w:hint="default"/>
      </w:rPr>
    </w:lvl>
    <w:lvl w:ilvl="5">
      <w:start w:val="1"/>
      <w:numFmt w:val="upperLetter"/>
      <w:pStyle w:val="PartL6"/>
      <w:lvlText w:val="(%6)"/>
      <w:lvlJc w:val="left"/>
      <w:pPr>
        <w:tabs>
          <w:tab w:val="num" w:pos="2722"/>
        </w:tabs>
        <w:ind w:left="2722" w:hanging="681"/>
      </w:pPr>
      <w:rPr>
        <w:rFonts w:hint="default"/>
      </w:rPr>
    </w:lvl>
    <w:lvl w:ilvl="6">
      <w:start w:val="1"/>
      <w:numFmt w:val="upperRoman"/>
      <w:pStyle w:val="PartL7"/>
      <w:lvlText w:val="(%7)"/>
      <w:lvlJc w:val="left"/>
      <w:pPr>
        <w:tabs>
          <w:tab w:val="num" w:pos="3402"/>
        </w:tabs>
        <w:ind w:left="3402" w:hanging="680"/>
      </w:pPr>
      <w:rPr>
        <w:rFonts w:hint="default"/>
      </w:rPr>
    </w:lvl>
    <w:lvl w:ilvl="7">
      <w:start w:val="1"/>
      <w:numFmt w:val="decimal"/>
      <w:pStyle w:val="PartL8"/>
      <w:lvlText w:val="(%8)"/>
      <w:lvlJc w:val="left"/>
      <w:pPr>
        <w:tabs>
          <w:tab w:val="num" w:pos="4082"/>
        </w:tabs>
        <w:ind w:left="4082" w:hanging="680"/>
      </w:pPr>
      <w:rPr>
        <w:rFonts w:hint="default"/>
      </w:rPr>
    </w:lvl>
    <w:lvl w:ilvl="8">
      <w:start w:val="1"/>
      <w:numFmt w:val="upperLetter"/>
      <w:pStyle w:val="PartL9"/>
      <w:lvlText w:val="%9."/>
      <w:lvlJc w:val="left"/>
      <w:pPr>
        <w:tabs>
          <w:tab w:val="num" w:pos="4763"/>
        </w:tabs>
        <w:ind w:left="4763" w:hanging="681"/>
      </w:pPr>
      <w:rPr>
        <w:rFonts w:hint="default"/>
      </w:rPr>
    </w:lvl>
  </w:abstractNum>
  <w:abstractNum w:abstractNumId="34">
    <w:nsid w:val="2E0B074F"/>
    <w:multiLevelType w:val="multilevel"/>
    <w:tmpl w:val="F0D24A5A"/>
    <w:lvl w:ilvl="0">
      <w:start w:val="1"/>
      <w:numFmt w:val="upperLetter"/>
      <w:lvlText w:val="%1"/>
      <w:lvlJc w:val="left"/>
      <w:pPr>
        <w:ind w:left="680" w:hanging="680"/>
      </w:pPr>
      <w:rPr>
        <w:rFonts w:ascii="Arial" w:hAnsi="Arial" w:hint="default"/>
        <w:b w:val="0"/>
        <w:i w:val="0"/>
        <w:sz w:val="20"/>
      </w:rPr>
    </w:lvl>
    <w:lvl w:ilvl="1">
      <w:start w:val="1"/>
      <w:numFmt w:val="lowerRoman"/>
      <w:lvlText w:val="(%2)"/>
      <w:lvlJc w:val="left"/>
      <w:pPr>
        <w:ind w:left="1361" w:hanging="681"/>
      </w:pPr>
      <w:rPr>
        <w:rFonts w:hint="default"/>
      </w:rPr>
    </w:lvl>
    <w:lvl w:ilvl="2">
      <w:start w:val="1"/>
      <w:numFmt w:val="lowerLetter"/>
      <w:lvlText w:val="(%3)"/>
      <w:lvlJc w:val="left"/>
      <w:pPr>
        <w:tabs>
          <w:tab w:val="num" w:pos="1361"/>
        </w:tabs>
        <w:ind w:left="2041" w:hanging="68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nsid w:val="305A2A9C"/>
    <w:multiLevelType w:val="multilevel"/>
    <w:tmpl w:val="ED86E9A2"/>
    <w:numStyleLink w:val="MEBasic"/>
  </w:abstractNum>
  <w:abstractNum w:abstractNumId="36">
    <w:nsid w:val="34D1047C"/>
    <w:multiLevelType w:val="multilevel"/>
    <w:tmpl w:val="2646C746"/>
    <w:styleLink w:val="Level"/>
    <w:lvl w:ilvl="0">
      <w:start w:val="1"/>
      <w:numFmt w:val="upperLetter"/>
      <w:pStyle w:val="Level1"/>
      <w:lvlText w:val="%1"/>
      <w:lvlJc w:val="left"/>
      <w:pPr>
        <w:ind w:left="680" w:hanging="680"/>
      </w:pPr>
      <w:rPr>
        <w:rFonts w:ascii="Arial" w:hAnsi="Arial" w:hint="default"/>
        <w:sz w:val="20"/>
      </w:rPr>
    </w:lvl>
    <w:lvl w:ilvl="1">
      <w:start w:val="1"/>
      <w:numFmt w:val="lowerRoman"/>
      <w:pStyle w:val="Level2"/>
      <w:lvlText w:val="(%2)"/>
      <w:lvlJc w:val="left"/>
      <w:pPr>
        <w:ind w:left="1361" w:hanging="681"/>
      </w:pPr>
      <w:rPr>
        <w:rFonts w:hint="default"/>
      </w:rPr>
    </w:lvl>
    <w:lvl w:ilvl="2">
      <w:start w:val="1"/>
      <w:numFmt w:val="lowerLetter"/>
      <w:pStyle w:val="Level3"/>
      <w:lvlText w:val="(%3)"/>
      <w:lvlJc w:val="left"/>
      <w:pPr>
        <w:tabs>
          <w:tab w:val="num" w:pos="2041"/>
        </w:tabs>
        <w:ind w:left="2041" w:hanging="680"/>
      </w:pPr>
      <w:rPr>
        <w:rFonts w:hint="default"/>
      </w:rPr>
    </w:lvl>
    <w:lvl w:ilvl="3">
      <w:start w:val="1"/>
      <w:numFmt w:val="decimal"/>
      <w:pStyle w:val="Level4"/>
      <w:lvlText w:val="%4."/>
      <w:lvlJc w:val="left"/>
      <w:pPr>
        <w:ind w:left="2722" w:hanging="681"/>
      </w:pPr>
      <w:rPr>
        <w:rFonts w:hint="default"/>
      </w:rPr>
    </w:lvl>
    <w:lvl w:ilvl="4">
      <w:start w:val="1"/>
      <w:numFmt w:val="upperLetter"/>
      <w:pStyle w:val="Level5"/>
      <w:lvlText w:val="(%5)"/>
      <w:lvlJc w:val="left"/>
      <w:pPr>
        <w:tabs>
          <w:tab w:val="num" w:pos="3402"/>
        </w:tabs>
        <w:ind w:left="3402" w:hanging="680"/>
      </w:pPr>
      <w:rPr>
        <w:rFonts w:hint="default"/>
      </w:rPr>
    </w:lvl>
    <w:lvl w:ilvl="5">
      <w:start w:val="1"/>
      <w:numFmt w:val="upperRoman"/>
      <w:pStyle w:val="Level6"/>
      <w:lvlText w:val="(%6)"/>
      <w:lvlJc w:val="left"/>
      <w:pPr>
        <w:tabs>
          <w:tab w:val="num" w:pos="4082"/>
        </w:tabs>
        <w:ind w:left="4082" w:hanging="680"/>
      </w:pPr>
      <w:rPr>
        <w:rFonts w:hint="default"/>
      </w:rPr>
    </w:lvl>
    <w:lvl w:ilvl="6">
      <w:start w:val="1"/>
      <w:numFmt w:val="decimal"/>
      <w:pStyle w:val="Level7"/>
      <w:lvlText w:val="(%7)"/>
      <w:lvlJc w:val="left"/>
      <w:pPr>
        <w:tabs>
          <w:tab w:val="num" w:pos="4763"/>
        </w:tabs>
        <w:ind w:left="4763" w:hanging="681"/>
      </w:pPr>
      <w:rPr>
        <w:rFonts w:hint="default"/>
      </w:rPr>
    </w:lvl>
    <w:lvl w:ilvl="7">
      <w:start w:val="1"/>
      <w:numFmt w:val="lowerRoman"/>
      <w:pStyle w:val="Level8"/>
      <w:lvlText w:val="%8."/>
      <w:lvlJc w:val="left"/>
      <w:pPr>
        <w:tabs>
          <w:tab w:val="num" w:pos="5443"/>
        </w:tabs>
        <w:ind w:left="5443" w:hanging="680"/>
      </w:pPr>
      <w:rPr>
        <w:rFonts w:hint="default"/>
      </w:rPr>
    </w:lvl>
    <w:lvl w:ilvl="8">
      <w:start w:val="1"/>
      <w:numFmt w:val="lowerLetter"/>
      <w:pStyle w:val="Level9"/>
      <w:lvlText w:val="%9."/>
      <w:lvlJc w:val="left"/>
      <w:pPr>
        <w:tabs>
          <w:tab w:val="num" w:pos="6124"/>
        </w:tabs>
        <w:ind w:left="6124" w:hanging="681"/>
      </w:pPr>
      <w:rPr>
        <w:rFonts w:hint="default"/>
      </w:rPr>
    </w:lvl>
  </w:abstractNum>
  <w:abstractNum w:abstractNumId="37">
    <w:nsid w:val="34F14717"/>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nsid w:val="361E4D43"/>
    <w:multiLevelType w:val="multilevel"/>
    <w:tmpl w:val="A32A1022"/>
    <w:lvl w:ilvl="0">
      <w:start w:val="1"/>
      <w:numFmt w:val="upperLetter"/>
      <w:lvlText w:val="Annexure %1"/>
      <w:lvlJc w:val="left"/>
      <w:pPr>
        <w:ind w:left="3338"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384D14CF"/>
    <w:multiLevelType w:val="multilevel"/>
    <w:tmpl w:val="96BE68D4"/>
    <w:lvl w:ilvl="0">
      <w:start w:val="1"/>
      <w:numFmt w:val="upperLetter"/>
      <w:lvlText w:val="%1"/>
      <w:lvlJc w:val="left"/>
      <w:pPr>
        <w:tabs>
          <w:tab w:val="num" w:pos="680"/>
        </w:tabs>
        <w:ind w:left="680" w:hanging="680"/>
      </w:pPr>
      <w:rPr>
        <w:rFonts w:ascii="Arial" w:hAnsi="Arial" w:hint="default"/>
        <w:sz w:val="20"/>
      </w:rPr>
    </w:lvl>
    <w:lvl w:ilvl="1">
      <w:start w:val="1"/>
      <w:numFmt w:val="lowerRoman"/>
      <w:lvlText w:val="(%2)"/>
      <w:lvlJc w:val="left"/>
      <w:pPr>
        <w:tabs>
          <w:tab w:val="num" w:pos="1400"/>
        </w:tabs>
        <w:ind w:left="1361" w:hanging="681"/>
      </w:pPr>
    </w:lvl>
    <w:lvl w:ilvl="2">
      <w:start w:val="1"/>
      <w:numFmt w:val="none"/>
      <w:lvlText w:val=""/>
      <w:lvlJc w:val="left"/>
      <w:pPr>
        <w:tabs>
          <w:tab w:val="num" w:pos="2552"/>
        </w:tabs>
        <w:ind w:left="2552" w:hanging="851"/>
      </w:pPr>
    </w:lvl>
    <w:lvl w:ilvl="3">
      <w:start w:val="1"/>
      <w:numFmt w:val="none"/>
      <w:lvlText w:val=""/>
      <w:lvlJc w:val="left"/>
      <w:pPr>
        <w:tabs>
          <w:tab w:val="num" w:pos="3402"/>
        </w:tabs>
        <w:ind w:left="3402" w:hanging="850"/>
      </w:pPr>
    </w:lvl>
    <w:lvl w:ilvl="4">
      <w:start w:val="1"/>
      <w:numFmt w:val="none"/>
      <w:lvlText w:val=""/>
      <w:lvlJc w:val="left"/>
      <w:pPr>
        <w:tabs>
          <w:tab w:val="num" w:pos="4253"/>
        </w:tabs>
        <w:ind w:left="4253" w:hanging="851"/>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9"/>
      <w:lvlJc w:val="left"/>
      <w:pPr>
        <w:ind w:left="-1" w:firstLine="0"/>
      </w:pPr>
    </w:lvl>
  </w:abstractNum>
  <w:abstractNum w:abstractNumId="40">
    <w:nsid w:val="388E5E3B"/>
    <w:multiLevelType w:val="hybridMultilevel"/>
    <w:tmpl w:val="3C52A908"/>
    <w:lvl w:ilvl="0" w:tplc="3D8216D0">
      <w:start w:val="1"/>
      <w:numFmt w:val="lowerRoman"/>
      <w:lvlText w:val="%1."/>
      <w:lvlJc w:val="right"/>
      <w:pPr>
        <w:ind w:left="360" w:hanging="360"/>
      </w:pPr>
      <w:rPr>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nsid w:val="3AAE662E"/>
    <w:multiLevelType w:val="multilevel"/>
    <w:tmpl w:val="3392CF8E"/>
    <w:lvl w:ilvl="0">
      <w:start w:val="1"/>
      <w:numFmt w:val="none"/>
      <w:suff w:val="nothing"/>
      <w:lvlText w:val=""/>
      <w:lvlJc w:val="left"/>
      <w:pPr>
        <w:ind w:left="680" w:firstLine="0"/>
      </w:pPr>
      <w:rPr>
        <w:rFonts w:hint="default"/>
      </w:rPr>
    </w:lvl>
    <w:lvl w:ilvl="1">
      <w:start w:val="1"/>
      <w:numFmt w:val="lowerLetter"/>
      <w:lvlText w:val="(%2)"/>
      <w:lvlJc w:val="left"/>
      <w:pPr>
        <w:ind w:left="1361" w:hanging="681"/>
      </w:pPr>
      <w:rPr>
        <w:rFonts w:hint="default"/>
      </w:rPr>
    </w:lvl>
    <w:lvl w:ilvl="2">
      <w:start w:val="1"/>
      <w:numFmt w:val="lowerRoman"/>
      <w:lvlText w:val="(%3)"/>
      <w:lvlJc w:val="left"/>
      <w:pPr>
        <w:tabs>
          <w:tab w:val="num" w:pos="1361"/>
        </w:tabs>
        <w:ind w:left="2041" w:hanging="68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2">
    <w:nsid w:val="3CA8400C"/>
    <w:multiLevelType w:val="singleLevel"/>
    <w:tmpl w:val="C6EE1BF2"/>
    <w:lvl w:ilvl="0">
      <w:start w:val="1"/>
      <w:numFmt w:val="bullet"/>
      <w:pStyle w:val="Bullet1"/>
      <w:lvlText w:val="•"/>
      <w:lvlJc w:val="left"/>
      <w:pPr>
        <w:tabs>
          <w:tab w:val="num" w:pos="1418"/>
        </w:tabs>
        <w:ind w:left="1418" w:hanging="709"/>
      </w:pPr>
      <w:rPr>
        <w:rFonts w:ascii="Garamond" w:hAnsi="Garamond" w:hint="default"/>
        <w:b w:val="0"/>
        <w:i w:val="0"/>
        <w:sz w:val="24"/>
      </w:rPr>
    </w:lvl>
  </w:abstractNum>
  <w:abstractNum w:abstractNumId="43">
    <w:nsid w:val="3DAC2CEB"/>
    <w:multiLevelType w:val="hybridMultilevel"/>
    <w:tmpl w:val="170EF75C"/>
    <w:lvl w:ilvl="0" w:tplc="74DEEC04">
      <w:start w:val="1"/>
      <w:numFmt w:val="bullet"/>
      <w:pStyle w:val="Bullet"/>
      <w:lvlText w:val=""/>
      <w:lvlJc w:val="left"/>
      <w:pPr>
        <w:tabs>
          <w:tab w:val="num" w:pos="680"/>
        </w:tabs>
        <w:ind w:left="680" w:hanging="680"/>
      </w:pPr>
      <w:rPr>
        <w:rFonts w:ascii="Symbol" w:hAnsi="Symbol"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40A13416"/>
    <w:multiLevelType w:val="multilevel"/>
    <w:tmpl w:val="578C1EBA"/>
    <w:numStyleLink w:val="Schedule"/>
  </w:abstractNum>
  <w:abstractNum w:abstractNumId="45">
    <w:nsid w:val="41EC3994"/>
    <w:multiLevelType w:val="multilevel"/>
    <w:tmpl w:val="79F8B7FC"/>
    <w:styleLink w:val="Annexure"/>
    <w:lvl w:ilvl="0">
      <w:start w:val="1"/>
      <w:numFmt w:val="decimal"/>
      <w:pStyle w:val="AnnexureL1"/>
      <w:suff w:val="nothing"/>
      <w:lvlText w:val="Annexure %1"/>
      <w:lvlJc w:val="left"/>
      <w:pPr>
        <w:ind w:left="0" w:firstLine="0"/>
      </w:pPr>
      <w:rPr>
        <w:rFonts w:hint="default"/>
      </w:rPr>
    </w:lvl>
    <w:lvl w:ilvl="1">
      <w:start w:val="1"/>
      <w:numFmt w:val="decimal"/>
      <w:pStyle w:val="AnnexureL2"/>
      <w:lvlText w:val="%2."/>
      <w:lvlJc w:val="left"/>
      <w:pPr>
        <w:ind w:left="680" w:hanging="680"/>
      </w:pPr>
      <w:rPr>
        <w:rFonts w:hint="default"/>
      </w:rPr>
    </w:lvl>
    <w:lvl w:ilvl="2">
      <w:start w:val="1"/>
      <w:numFmt w:val="decimal"/>
      <w:pStyle w:val="AnnexureL3"/>
      <w:lvlText w:val="%2.%3"/>
      <w:lvlJc w:val="left"/>
      <w:pPr>
        <w:ind w:left="680" w:hanging="680"/>
      </w:pPr>
      <w:rPr>
        <w:rFonts w:hint="default"/>
      </w:rPr>
    </w:lvl>
    <w:lvl w:ilvl="3">
      <w:start w:val="1"/>
      <w:numFmt w:val="lowerLetter"/>
      <w:pStyle w:val="AnnexureL4"/>
      <w:lvlText w:val="(%4)"/>
      <w:lvlJc w:val="left"/>
      <w:pPr>
        <w:ind w:left="1361" w:hanging="681"/>
      </w:pPr>
      <w:rPr>
        <w:rFonts w:hint="default"/>
      </w:rPr>
    </w:lvl>
    <w:lvl w:ilvl="4">
      <w:start w:val="1"/>
      <w:numFmt w:val="lowerRoman"/>
      <w:pStyle w:val="AnnexureL5"/>
      <w:lvlText w:val="(%5)"/>
      <w:lvlJc w:val="left"/>
      <w:pPr>
        <w:ind w:left="2041" w:hanging="680"/>
      </w:pPr>
      <w:rPr>
        <w:rFonts w:hint="default"/>
      </w:rPr>
    </w:lvl>
    <w:lvl w:ilvl="5">
      <w:start w:val="1"/>
      <w:numFmt w:val="lowerRoman"/>
      <w:pStyle w:val="AnnexureL6"/>
      <w:lvlText w:val="(%6)"/>
      <w:lvlJc w:val="left"/>
      <w:pPr>
        <w:ind w:left="2722" w:hanging="681"/>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6">
    <w:nsid w:val="434738F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59079D6"/>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nsid w:val="45981ED8"/>
    <w:multiLevelType w:val="multilevel"/>
    <w:tmpl w:val="170A3BE0"/>
    <w:lvl w:ilvl="0">
      <w:start w:val="1"/>
      <w:numFmt w:val="decimal"/>
      <w:pStyle w:val="ItemL1"/>
      <w:suff w:val="nothing"/>
      <w:lvlText w:val="Item %1 "/>
      <w:lvlJc w:val="left"/>
      <w:pPr>
        <w:ind w:left="0" w:firstLine="0"/>
      </w:pPr>
      <w:rPr>
        <w:rFonts w:hint="default"/>
      </w:rPr>
    </w:lvl>
    <w:lvl w:ilvl="1">
      <w:start w:val="1"/>
      <w:numFmt w:val="decimal"/>
      <w:pStyle w:val="ItemL2"/>
      <w:lvlText w:val="%1.%2"/>
      <w:lvlJc w:val="left"/>
      <w:pPr>
        <w:ind w:left="680" w:hanging="680"/>
      </w:pPr>
      <w:rPr>
        <w:rFonts w:hint="default"/>
      </w:rPr>
    </w:lvl>
    <w:lvl w:ilvl="2">
      <w:start w:val="1"/>
      <w:numFmt w:val="lowerLetter"/>
      <w:pStyle w:val="ItemL3"/>
      <w:lvlText w:val="(%3)"/>
      <w:lvlJc w:val="left"/>
      <w:pPr>
        <w:ind w:left="680" w:hanging="680"/>
      </w:pPr>
      <w:rPr>
        <w:rFonts w:hint="default"/>
      </w:rPr>
    </w:lvl>
    <w:lvl w:ilvl="3">
      <w:start w:val="1"/>
      <w:numFmt w:val="lowerRoman"/>
      <w:pStyle w:val="ItemL4"/>
      <w:lvlText w:val="(%4)"/>
      <w:lvlJc w:val="left"/>
      <w:pPr>
        <w:ind w:left="1361" w:hanging="681"/>
      </w:pPr>
      <w:rPr>
        <w:rFonts w:hint="default"/>
      </w:rPr>
    </w:lvl>
    <w:lvl w:ilvl="4">
      <w:start w:val="1"/>
      <w:numFmt w:val="upperLetter"/>
      <w:pStyle w:val="ItemL5"/>
      <w:lvlText w:val="(%5)"/>
      <w:lvlJc w:val="left"/>
      <w:pPr>
        <w:ind w:left="2041" w:hanging="680"/>
      </w:pPr>
      <w:rPr>
        <w:rFonts w:hint="default"/>
      </w:rPr>
    </w:lvl>
    <w:lvl w:ilvl="5">
      <w:start w:val="1"/>
      <w:numFmt w:val="upperRoman"/>
      <w:pStyle w:val="ItemL6"/>
      <w:lvlText w:val="(%6)"/>
      <w:lvlJc w:val="left"/>
      <w:pPr>
        <w:ind w:left="2041" w:hanging="680"/>
      </w:pPr>
      <w:rPr>
        <w:rFonts w:hint="default"/>
      </w:rPr>
    </w:lvl>
    <w:lvl w:ilvl="6">
      <w:start w:val="1"/>
      <w:numFmt w:val="decimal"/>
      <w:pStyle w:val="ItemL7"/>
      <w:lvlText w:val="(%7)"/>
      <w:lvlJc w:val="left"/>
      <w:pPr>
        <w:ind w:left="2041" w:hanging="680"/>
      </w:pPr>
      <w:rPr>
        <w:rFonts w:hint="default"/>
      </w:rPr>
    </w:lvl>
    <w:lvl w:ilvl="7">
      <w:start w:val="1"/>
      <w:numFmt w:val="upperLetter"/>
      <w:pStyle w:val="ItemL8"/>
      <w:lvlText w:val="%8."/>
      <w:lvlJc w:val="left"/>
      <w:pPr>
        <w:ind w:left="2041" w:hanging="680"/>
      </w:pPr>
      <w:rPr>
        <w:rFonts w:hint="default"/>
      </w:rPr>
    </w:lvl>
    <w:lvl w:ilvl="8">
      <w:start w:val="1"/>
      <w:numFmt w:val="upperRoman"/>
      <w:pStyle w:val="ItemL9"/>
      <w:lvlText w:val="%9."/>
      <w:lvlJc w:val="left"/>
      <w:pPr>
        <w:ind w:left="2041" w:hanging="680"/>
      </w:pPr>
      <w:rPr>
        <w:rFonts w:hint="default"/>
      </w:rPr>
    </w:lvl>
  </w:abstractNum>
  <w:abstractNum w:abstractNumId="49">
    <w:nsid w:val="4A740E0E"/>
    <w:multiLevelType w:val="multilevel"/>
    <w:tmpl w:val="B56ECFCE"/>
    <w:lvl w:ilvl="0">
      <w:start w:val="1"/>
      <w:numFmt w:val="decimal"/>
      <w:lvlText w:val="%1."/>
      <w:lvlJc w:val="left"/>
      <w:pPr>
        <w:tabs>
          <w:tab w:val="num" w:pos="680"/>
        </w:tabs>
        <w:ind w:left="680" w:hanging="680"/>
      </w:pPr>
      <w:rPr>
        <w:rFonts w:ascii="Times New Roman" w:hAnsi="Times New Roman"/>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4225"/>
        </w:tabs>
        <w:ind w:left="4225" w:hanging="680"/>
      </w:pPr>
      <w:rPr>
        <w:b w:val="0"/>
        <w:i w:val="0"/>
      </w:rPr>
    </w:lvl>
    <w:lvl w:ilvl="2">
      <w:start w:val="1"/>
      <w:numFmt w:val="lowerLetter"/>
      <w:lvlText w:val="(%3)"/>
      <w:lvlJc w:val="left"/>
      <w:pPr>
        <w:tabs>
          <w:tab w:val="num" w:pos="1361"/>
        </w:tabs>
        <w:ind w:left="1361" w:hanging="681"/>
      </w:pPr>
      <w:rPr>
        <w:b w:val="0"/>
      </w:rPr>
    </w:lvl>
    <w:lvl w:ilvl="3">
      <w:start w:val="1"/>
      <w:numFmt w:val="lowerRoman"/>
      <w:lvlText w:val="(%4)"/>
      <w:lvlJc w:val="left"/>
      <w:pPr>
        <w:tabs>
          <w:tab w:val="num" w:pos="2081"/>
        </w:tabs>
        <w:ind w:left="2041" w:hanging="680"/>
      </w:pPr>
    </w:lvl>
    <w:lvl w:ilvl="4">
      <w:start w:val="1"/>
      <w:numFmt w:val="upperLetter"/>
      <w:lvlText w:val="(%5)"/>
      <w:lvlJc w:val="left"/>
      <w:pPr>
        <w:tabs>
          <w:tab w:val="num" w:pos="2722"/>
        </w:tabs>
        <w:ind w:left="2722" w:hanging="681"/>
      </w:pPr>
    </w:lvl>
    <w:lvl w:ilvl="5">
      <w:start w:val="1"/>
      <w:numFmt w:val="upperRoman"/>
      <w:lvlText w:val="(%6)"/>
      <w:lvlJc w:val="left"/>
      <w:pPr>
        <w:tabs>
          <w:tab w:val="num" w:pos="3442"/>
        </w:tabs>
        <w:ind w:left="3402" w:hanging="680"/>
      </w:pPr>
    </w:lvl>
    <w:lvl w:ilvl="6">
      <w:start w:val="1"/>
      <w:numFmt w:val="none"/>
      <w:lvlText w:val="%7"/>
      <w:lvlJc w:val="left"/>
      <w:pPr>
        <w:tabs>
          <w:tab w:val="num" w:pos="5103"/>
        </w:tabs>
        <w:ind w:left="5103" w:hanging="85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50">
    <w:nsid w:val="4EB40ABD"/>
    <w:multiLevelType w:val="singleLevel"/>
    <w:tmpl w:val="78BC41CC"/>
    <w:lvl w:ilvl="0">
      <w:start w:val="1"/>
      <w:numFmt w:val="bullet"/>
      <w:pStyle w:val="Bullet3"/>
      <w:lvlText w:val="•"/>
      <w:lvlJc w:val="left"/>
      <w:pPr>
        <w:tabs>
          <w:tab w:val="num" w:pos="2126"/>
        </w:tabs>
        <w:ind w:left="2126" w:hanging="708"/>
      </w:pPr>
      <w:rPr>
        <w:rFonts w:ascii="Garamond" w:hAnsi="Garamond" w:hint="default"/>
        <w:b w:val="0"/>
        <w:i w:val="0"/>
        <w:sz w:val="24"/>
      </w:rPr>
    </w:lvl>
  </w:abstractNum>
  <w:abstractNum w:abstractNumId="51">
    <w:nsid w:val="506046B2"/>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509476EC"/>
    <w:multiLevelType w:val="multilevel"/>
    <w:tmpl w:val="578C1EBA"/>
    <w:numStyleLink w:val="Schedule"/>
  </w:abstractNum>
  <w:abstractNum w:abstractNumId="53">
    <w:nsid w:val="5F9D4A75"/>
    <w:multiLevelType w:val="multilevel"/>
    <w:tmpl w:val="79F8B7FC"/>
    <w:numStyleLink w:val="Annexure"/>
  </w:abstractNum>
  <w:abstractNum w:abstractNumId="54">
    <w:nsid w:val="61FA7149"/>
    <w:multiLevelType w:val="multilevel"/>
    <w:tmpl w:val="A8287C54"/>
    <w:styleLink w:val="Warranty"/>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ind w:left="680" w:hanging="680"/>
      </w:pPr>
      <w:rPr>
        <w:rFonts w:hint="default"/>
      </w:rPr>
    </w:lvl>
    <w:lvl w:ilvl="2">
      <w:start w:val="1"/>
      <w:numFmt w:val="lowerLetter"/>
      <w:pStyle w:val="WarrantyL3"/>
      <w:lvlText w:val="(%3)"/>
      <w:lvlJc w:val="left"/>
      <w:pPr>
        <w:ind w:left="1361" w:hanging="681"/>
      </w:pPr>
      <w:rPr>
        <w:rFonts w:hint="default"/>
      </w:rPr>
    </w:lvl>
    <w:lvl w:ilvl="3">
      <w:start w:val="1"/>
      <w:numFmt w:val="lowerRoman"/>
      <w:pStyle w:val="WarrantyL4"/>
      <w:lvlText w:val="(%4)"/>
      <w:lvlJc w:val="left"/>
      <w:pPr>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upperRoman"/>
      <w:pStyle w:val="WarrantyL6"/>
      <w:lvlText w:val="(%6)"/>
      <w:lvlJc w:val="left"/>
      <w:pPr>
        <w:tabs>
          <w:tab w:val="num" w:pos="3402"/>
        </w:tabs>
        <w:ind w:left="3402" w:hanging="680"/>
      </w:pPr>
      <w:rPr>
        <w:rFonts w:hint="default"/>
      </w:rPr>
    </w:lvl>
    <w:lvl w:ilvl="6">
      <w:start w:val="1"/>
      <w:numFmt w:val="decimal"/>
      <w:pStyle w:val="WarrantyL7"/>
      <w:lvlText w:val="(%7)"/>
      <w:lvlJc w:val="left"/>
      <w:pPr>
        <w:tabs>
          <w:tab w:val="num" w:pos="4082"/>
        </w:tabs>
        <w:ind w:left="4082" w:hanging="680"/>
      </w:pPr>
      <w:rPr>
        <w:rFonts w:hint="default"/>
      </w:rPr>
    </w:lvl>
    <w:lvl w:ilvl="7">
      <w:start w:val="1"/>
      <w:numFmt w:val="upperLetter"/>
      <w:pStyle w:val="WarrantyL8"/>
      <w:lvlText w:val="%8."/>
      <w:lvlJc w:val="left"/>
      <w:pPr>
        <w:tabs>
          <w:tab w:val="num" w:pos="4763"/>
        </w:tabs>
        <w:ind w:left="4763" w:hanging="681"/>
      </w:pPr>
      <w:rPr>
        <w:rFonts w:hint="default"/>
      </w:rPr>
    </w:lvl>
    <w:lvl w:ilvl="8">
      <w:start w:val="1"/>
      <w:numFmt w:val="upperRoman"/>
      <w:pStyle w:val="WarrantyL9"/>
      <w:lvlText w:val="%9."/>
      <w:lvlJc w:val="left"/>
      <w:pPr>
        <w:tabs>
          <w:tab w:val="num" w:pos="5443"/>
        </w:tabs>
        <w:ind w:left="5443" w:hanging="680"/>
      </w:pPr>
      <w:rPr>
        <w:rFonts w:hint="default"/>
      </w:rPr>
    </w:lvl>
  </w:abstractNum>
  <w:abstractNum w:abstractNumId="55">
    <w:nsid w:val="6422433D"/>
    <w:multiLevelType w:val="multilevel"/>
    <w:tmpl w:val="FEC0D208"/>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041"/>
        </w:tabs>
        <w:ind w:left="2722" w:hanging="681"/>
      </w:pPr>
      <w:rPr>
        <w:rFonts w:hint="default"/>
      </w:rPr>
    </w:lvl>
    <w:lvl w:ilvl="5">
      <w:start w:val="1"/>
      <w:numFmt w:val="upperRoman"/>
      <w:lvlText w:val="(%6)"/>
      <w:lvlJc w:val="left"/>
      <w:pPr>
        <w:tabs>
          <w:tab w:val="num" w:pos="2722"/>
        </w:tabs>
        <w:ind w:left="3402" w:hanging="68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6">
    <w:nsid w:val="65AF38A8"/>
    <w:multiLevelType w:val="multilevel"/>
    <w:tmpl w:val="D4FC3E1A"/>
    <w:lvl w:ilvl="0">
      <w:start w:val="1"/>
      <w:numFmt w:val="decimal"/>
      <w:lvlText w:val="Warranty %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7">
    <w:nsid w:val="65E00F9D"/>
    <w:multiLevelType w:val="multilevel"/>
    <w:tmpl w:val="590CB30A"/>
    <w:lvl w:ilvl="0">
      <w:start w:val="1"/>
      <w:numFmt w:val="decimal"/>
      <w:lvlText w:val="PART %1 "/>
      <w:lvlJc w:val="left"/>
      <w:pPr>
        <w:tabs>
          <w:tab w:val="num" w:pos="1080"/>
        </w:tabs>
        <w:ind w:left="851" w:hanging="851"/>
      </w:pPr>
      <w:rPr>
        <w:b/>
        <w:i w:val="0"/>
      </w:rPr>
    </w:lvl>
    <w:lvl w:ilvl="1">
      <w:start w:val="1"/>
      <w:numFmt w:val="decimal"/>
      <w:lvlText w:val="%1.%2"/>
      <w:lvlJc w:val="left"/>
      <w:pPr>
        <w:tabs>
          <w:tab w:val="num" w:pos="851"/>
        </w:tabs>
        <w:ind w:left="851" w:hanging="851"/>
      </w:pPr>
    </w:lvl>
    <w:lvl w:ilvl="2">
      <w:start w:val="1"/>
      <w:numFmt w:val="lowerLetter"/>
      <w:lvlText w:val="(%3)"/>
      <w:lvlJc w:val="left"/>
      <w:pPr>
        <w:tabs>
          <w:tab w:val="num" w:pos="1701"/>
        </w:tabs>
        <w:ind w:left="1701" w:hanging="850"/>
      </w:pPr>
    </w:lvl>
    <w:lvl w:ilvl="3">
      <w:start w:val="1"/>
      <w:numFmt w:val="lowerRoman"/>
      <w:lvlText w:val="(%4)"/>
      <w:lvlJc w:val="left"/>
      <w:pPr>
        <w:tabs>
          <w:tab w:val="num" w:pos="2552"/>
        </w:tabs>
        <w:ind w:left="2552" w:hanging="851"/>
      </w:pPr>
    </w:lvl>
    <w:lvl w:ilvl="4">
      <w:start w:val="1"/>
      <w:numFmt w:val="upperLetter"/>
      <w:lvlText w:val="(%5)"/>
      <w:lvlJc w:val="left"/>
      <w:pPr>
        <w:tabs>
          <w:tab w:val="num" w:pos="3402"/>
        </w:tabs>
        <w:ind w:left="3402" w:hanging="850"/>
      </w:pPr>
    </w:lvl>
    <w:lvl w:ilvl="5">
      <w:start w:val="1"/>
      <w:numFmt w:val="upperRoman"/>
      <w:lvlText w:val="(%6)"/>
      <w:lvlJc w:val="left"/>
      <w:pPr>
        <w:tabs>
          <w:tab w:val="num" w:pos="4253"/>
        </w:tabs>
        <w:ind w:left="4253" w:hanging="851"/>
      </w:pPr>
    </w:lvl>
    <w:lvl w:ilvl="6">
      <w:start w:val="1"/>
      <w:numFmt w:val="decimal"/>
      <w:lvlText w:val="%7)"/>
      <w:lvlJc w:val="left"/>
      <w:pPr>
        <w:tabs>
          <w:tab w:val="num" w:pos="5103"/>
        </w:tabs>
        <w:ind w:left="5103" w:hanging="850"/>
      </w:pPr>
    </w:lvl>
    <w:lvl w:ilvl="7">
      <w:start w:val="1"/>
      <w:numFmt w:val="none"/>
      <w:suff w:val="nothing"/>
      <w:lvlText w:val="%8"/>
      <w:lvlJc w:val="left"/>
      <w:pPr>
        <w:ind w:left="0" w:firstLine="0"/>
      </w:pPr>
    </w:lvl>
    <w:lvl w:ilvl="8">
      <w:start w:val="1"/>
      <w:numFmt w:val="none"/>
      <w:suff w:val="nothing"/>
      <w:lvlText w:val=""/>
      <w:lvlJc w:val="left"/>
      <w:pPr>
        <w:ind w:left="0" w:firstLine="0"/>
      </w:pPr>
    </w:lvl>
  </w:abstractNum>
  <w:abstractNum w:abstractNumId="58">
    <w:nsid w:val="67B13B34"/>
    <w:multiLevelType w:val="multilevel"/>
    <w:tmpl w:val="8B388448"/>
    <w:numStyleLink w:val="MELegal"/>
  </w:abstractNum>
  <w:abstractNum w:abstractNumId="59">
    <w:nsid w:val="69DB38AC"/>
    <w:multiLevelType w:val="multilevel"/>
    <w:tmpl w:val="CC12610C"/>
    <w:lvl w:ilvl="0">
      <w:start w:val="1"/>
      <w:numFmt w:val="upperLetter"/>
      <w:suff w:val="nothing"/>
      <w:lvlText w:val="Part %1"/>
      <w:lvlJc w:val="left"/>
      <w:pPr>
        <w:ind w:left="0" w:firstLine="0"/>
      </w:pPr>
    </w:lvl>
    <w:lvl w:ilvl="1">
      <w:start w:val="1"/>
      <w:numFmt w:val="none"/>
      <w:lvlText w:val=""/>
      <w:lvlJc w:val="left"/>
      <w:pPr>
        <w:tabs>
          <w:tab w:val="num" w:pos="360"/>
        </w:tabs>
        <w:ind w:left="0" w:firstLine="0"/>
      </w:pPr>
    </w:lvl>
    <w:lvl w:ilvl="2">
      <w:start w:val="1"/>
      <w:numFmt w:val="none"/>
      <w:lvlText w:val=""/>
      <w:lvlJc w:val="left"/>
      <w:pPr>
        <w:tabs>
          <w:tab w:val="num" w:pos="360"/>
        </w:tabs>
        <w:ind w:left="0" w:firstLine="0"/>
      </w:pPr>
    </w:lvl>
    <w:lvl w:ilvl="3">
      <w:start w:val="1"/>
      <w:numFmt w:val="none"/>
      <w:lvlText w:val=""/>
      <w:lvlJc w:val="lef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0">
    <w:nsid w:val="6CBF1909"/>
    <w:multiLevelType w:val="multilevel"/>
    <w:tmpl w:val="578C1EBA"/>
    <w:numStyleLink w:val="Schedule"/>
  </w:abstractNum>
  <w:abstractNum w:abstractNumId="61">
    <w:nsid w:val="6E2E3764"/>
    <w:multiLevelType w:val="multilevel"/>
    <w:tmpl w:val="F712057C"/>
    <w:lvl w:ilvl="0">
      <w:start w:val="1"/>
      <w:numFmt w:val="decimal"/>
      <w:isLgl/>
      <w:suff w:val="space"/>
      <w:lvlText w:val="Item %1"/>
      <w:lvlJc w:val="left"/>
      <w:pPr>
        <w:ind w:left="1390" w:hanging="680"/>
      </w:pPr>
      <w:rPr>
        <w:rFonts w:ascii="Times New Roman" w:hAnsi="Times New Roman"/>
        <w:b/>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62">
    <w:nsid w:val="70A8249E"/>
    <w:multiLevelType w:val="singleLevel"/>
    <w:tmpl w:val="481A5C1A"/>
    <w:lvl w:ilvl="0">
      <w:start w:val="1"/>
      <w:numFmt w:val="bullet"/>
      <w:lvlText w:val="•"/>
      <w:lvlJc w:val="left"/>
      <w:pPr>
        <w:tabs>
          <w:tab w:val="num" w:pos="709"/>
        </w:tabs>
        <w:ind w:left="709" w:hanging="709"/>
      </w:pPr>
      <w:rPr>
        <w:rFonts w:ascii="Garamond" w:hAnsi="Garamond" w:hint="default"/>
        <w:b w:val="0"/>
        <w:i w:val="0"/>
        <w:sz w:val="24"/>
      </w:rPr>
    </w:lvl>
  </w:abstractNum>
  <w:abstractNum w:abstractNumId="63">
    <w:nsid w:val="728228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nsid w:val="75CD03C4"/>
    <w:multiLevelType w:val="multilevel"/>
    <w:tmpl w:val="266EC3B8"/>
    <w:lvl w:ilvl="0">
      <w:start w:val="1"/>
      <w:numFmt w:val="lowerLetter"/>
      <w:lvlText w:val="(%1)"/>
      <w:lvlJc w:val="left"/>
      <w:pPr>
        <w:ind w:left="680" w:hanging="680"/>
      </w:pPr>
      <w:rPr>
        <w:rFonts w:cs="Times New Roman" w:hint="default"/>
      </w:rPr>
    </w:lvl>
    <w:lvl w:ilvl="1">
      <w:start w:val="1"/>
      <w:numFmt w:val="lowerRoman"/>
      <w:lvlText w:val="(%2)"/>
      <w:lvlJc w:val="left"/>
      <w:pPr>
        <w:ind w:left="1360" w:hanging="680"/>
      </w:pPr>
      <w:rPr>
        <w:rFonts w:cs="Times New Roman" w:hint="default"/>
      </w:rPr>
    </w:lvl>
    <w:lvl w:ilvl="2">
      <w:start w:val="1"/>
      <w:numFmt w:val="upperLetter"/>
      <w:lvlText w:val="(%3)"/>
      <w:lvlJc w:val="left"/>
      <w:pPr>
        <w:ind w:left="2040" w:hanging="680"/>
      </w:pPr>
      <w:rPr>
        <w:rFonts w:cs="Times New Roman" w:hint="default"/>
      </w:rPr>
    </w:lvl>
    <w:lvl w:ilvl="3">
      <w:start w:val="1"/>
      <w:numFmt w:val="upperRoman"/>
      <w:lvlText w:val="(%4)"/>
      <w:lvlJc w:val="left"/>
      <w:pPr>
        <w:ind w:left="2720" w:hanging="680"/>
      </w:pPr>
      <w:rPr>
        <w:rFonts w:cs="Times New Roman" w:hint="default"/>
      </w:rPr>
    </w:lvl>
    <w:lvl w:ilvl="4">
      <w:start w:val="1"/>
      <w:numFmt w:val="upperRoman"/>
      <w:lvlText w:val="(%5)"/>
      <w:lvlJc w:val="left"/>
      <w:pPr>
        <w:ind w:left="3400" w:hanging="680"/>
      </w:pPr>
      <w:rPr>
        <w:rFonts w:cs="Times New Roman" w:hint="default"/>
      </w:rPr>
    </w:lvl>
    <w:lvl w:ilvl="5">
      <w:start w:val="1"/>
      <w:numFmt w:val="none"/>
      <w:lvlText w:val=""/>
      <w:lvlJc w:val="left"/>
      <w:pPr>
        <w:ind w:left="4080" w:hanging="680"/>
      </w:pPr>
      <w:rPr>
        <w:rFonts w:cs="Times New Roman" w:hint="default"/>
      </w:rPr>
    </w:lvl>
    <w:lvl w:ilvl="6">
      <w:start w:val="1"/>
      <w:numFmt w:val="none"/>
      <w:lvlText w:val=""/>
      <w:lvlJc w:val="left"/>
      <w:pPr>
        <w:ind w:left="4760" w:hanging="680"/>
      </w:pPr>
      <w:rPr>
        <w:rFonts w:cs="Times New Roman" w:hint="default"/>
      </w:rPr>
    </w:lvl>
    <w:lvl w:ilvl="7">
      <w:start w:val="1"/>
      <w:numFmt w:val="none"/>
      <w:lvlText w:val=""/>
      <w:lvlJc w:val="left"/>
      <w:pPr>
        <w:ind w:left="5440" w:hanging="680"/>
      </w:pPr>
      <w:rPr>
        <w:rFonts w:cs="Times New Roman" w:hint="default"/>
      </w:rPr>
    </w:lvl>
    <w:lvl w:ilvl="8">
      <w:start w:val="1"/>
      <w:numFmt w:val="none"/>
      <w:lvlText w:val=""/>
      <w:lvlJc w:val="left"/>
      <w:pPr>
        <w:ind w:left="6120" w:hanging="680"/>
      </w:pPr>
      <w:rPr>
        <w:rFonts w:cs="Times New Roman" w:hint="default"/>
      </w:rPr>
    </w:lvl>
  </w:abstractNum>
  <w:abstractNum w:abstractNumId="65">
    <w:nsid w:val="77D8712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7CD4220A"/>
    <w:multiLevelType w:val="multilevel"/>
    <w:tmpl w:val="1500EE46"/>
    <w:lvl w:ilvl="0">
      <w:start w:val="1"/>
      <w:numFmt w:val="none"/>
      <w:pStyle w:val="MENoIndent5"/>
      <w:suff w:val="nothing"/>
      <w:lvlText w:val=""/>
      <w:lvlJc w:val="left"/>
      <w:pPr>
        <w:ind w:left="680" w:firstLine="0"/>
      </w:pPr>
    </w:lvl>
    <w:lvl w:ilvl="1">
      <w:start w:val="1"/>
      <w:numFmt w:val="lowerLetter"/>
      <w:pStyle w:val="MENoIndent6"/>
      <w:lvlText w:val="(%2)"/>
      <w:lvlJc w:val="left"/>
      <w:pPr>
        <w:tabs>
          <w:tab w:val="num" w:pos="1361"/>
        </w:tabs>
        <w:ind w:left="1361" w:hanging="681"/>
      </w:pPr>
    </w:lvl>
    <w:lvl w:ilvl="2">
      <w:start w:val="1"/>
      <w:numFmt w:val="lowerRoman"/>
      <w:lvlText w:val="(%3)"/>
      <w:lvlJc w:val="left"/>
      <w:pPr>
        <w:tabs>
          <w:tab w:val="num" w:pos="2081"/>
        </w:tabs>
        <w:ind w:left="2041" w:hanging="680"/>
      </w:pPr>
    </w:lvl>
    <w:lvl w:ilvl="3">
      <w:start w:val="1"/>
      <w:numFmt w:val="none"/>
      <w:lvlText w:val=""/>
      <w:lvlJc w:val="lef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num w:numId="1">
    <w:abstractNumId w:val="49"/>
  </w:num>
  <w:num w:numId="2">
    <w:abstractNumId w:val="9"/>
  </w:num>
  <w:num w:numId="3">
    <w:abstractNumId w:val="61"/>
  </w:num>
  <w:num w:numId="4">
    <w:abstractNumId w:val="26"/>
  </w:num>
  <w:num w:numId="5">
    <w:abstractNumId w:val="4"/>
  </w:num>
  <w:num w:numId="6">
    <w:abstractNumId w:val="32"/>
    <w:lvlOverride w:ilvl="0">
      <w:lvl w:ilvl="0">
        <w:start w:val="1"/>
        <w:numFmt w:val="decimal"/>
        <w:pStyle w:val="MELegal1"/>
        <w:lvlText w:val="%1."/>
        <w:lvlJc w:val="left"/>
        <w:pPr>
          <w:ind w:left="680" w:hanging="680"/>
        </w:pPr>
        <w:rPr>
          <w:rFonts w:hint="default"/>
        </w:rPr>
      </w:lvl>
    </w:lvlOverride>
    <w:lvlOverride w:ilvl="1">
      <w:lvl w:ilvl="1">
        <w:start w:val="1"/>
        <w:numFmt w:val="decimal"/>
        <w:pStyle w:val="MELegal2"/>
        <w:lvlText w:val="%1.%2"/>
        <w:lvlJc w:val="left"/>
        <w:pPr>
          <w:ind w:left="680" w:hanging="680"/>
        </w:pPr>
        <w:rPr>
          <w:rFonts w:hint="default"/>
        </w:rPr>
      </w:lvl>
    </w:lvlOverride>
    <w:lvlOverride w:ilvl="2">
      <w:lvl w:ilvl="2">
        <w:start w:val="1"/>
        <w:numFmt w:val="lowerLetter"/>
        <w:pStyle w:val="MELegal3"/>
        <w:lvlText w:val="(%3)"/>
        <w:lvlJc w:val="left"/>
        <w:pPr>
          <w:ind w:left="1361" w:hanging="681"/>
        </w:pPr>
        <w:rPr>
          <w:rFonts w:hint="default"/>
          <w:b w:val="0"/>
        </w:rPr>
      </w:lvl>
    </w:lvlOverride>
    <w:lvlOverride w:ilvl="3">
      <w:lvl w:ilvl="3">
        <w:start w:val="1"/>
        <w:numFmt w:val="lowerRoman"/>
        <w:pStyle w:val="MELegal4"/>
        <w:lvlText w:val="(%4)"/>
        <w:lvlJc w:val="left"/>
        <w:pPr>
          <w:ind w:left="2041" w:hanging="680"/>
        </w:pPr>
        <w:rPr>
          <w:rFonts w:hint="default"/>
        </w:rPr>
      </w:lvl>
    </w:lvlOverride>
    <w:lvlOverride w:ilvl="4">
      <w:lvl w:ilvl="4">
        <w:start w:val="1"/>
        <w:numFmt w:val="upperLetter"/>
        <w:pStyle w:val="MELegal5"/>
        <w:lvlText w:val="(%5)"/>
        <w:lvlJc w:val="left"/>
        <w:pPr>
          <w:tabs>
            <w:tab w:val="num" w:pos="2041"/>
          </w:tabs>
          <w:ind w:left="2722" w:hanging="681"/>
        </w:pPr>
        <w:rPr>
          <w:rFonts w:hint="default"/>
        </w:rPr>
      </w:lvl>
    </w:lvlOverride>
    <w:lvlOverride w:ilvl="5">
      <w:lvl w:ilvl="5">
        <w:start w:val="1"/>
        <w:numFmt w:val="upperRoman"/>
        <w:pStyle w:val="MELegal6"/>
        <w:lvlText w:val="(%6)"/>
        <w:lvlJc w:val="left"/>
        <w:pPr>
          <w:tabs>
            <w:tab w:val="num" w:pos="2722"/>
          </w:tabs>
          <w:ind w:left="3402" w:hanging="680"/>
        </w:pPr>
        <w:rPr>
          <w:rFonts w:hint="default"/>
        </w:rPr>
      </w:lvl>
    </w:lvlOverride>
    <w:lvlOverride w:ilvl="6">
      <w:lvl w:ilvl="6">
        <w:start w:val="1"/>
        <w:numFmt w:val="none"/>
        <w:pStyle w:val="MELegal7"/>
        <w:lvlText w:val=""/>
        <w:lvlJc w:val="left"/>
        <w:pPr>
          <w:ind w:left="0" w:firstLine="0"/>
        </w:pPr>
        <w:rPr>
          <w:rFonts w:hint="default"/>
        </w:rPr>
      </w:lvl>
    </w:lvlOverride>
    <w:lvlOverride w:ilvl="7">
      <w:lvl w:ilvl="7">
        <w:start w:val="1"/>
        <w:numFmt w:val="none"/>
        <w:pStyle w:val="MELegal8"/>
        <w:lvlText w:val=""/>
        <w:lvlJc w:val="left"/>
        <w:pPr>
          <w:ind w:left="0" w:firstLine="0"/>
        </w:pPr>
        <w:rPr>
          <w:rFonts w:hint="default"/>
        </w:rPr>
      </w:lvl>
    </w:lvlOverride>
    <w:lvlOverride w:ilvl="8">
      <w:lvl w:ilvl="8">
        <w:start w:val="1"/>
        <w:numFmt w:val="none"/>
        <w:pStyle w:val="MELegal9"/>
        <w:lvlText w:val=""/>
        <w:lvlJc w:val="left"/>
        <w:pPr>
          <w:ind w:left="0" w:firstLine="0"/>
        </w:pPr>
        <w:rPr>
          <w:rFonts w:hint="default"/>
        </w:rPr>
      </w:lvl>
    </w:lvlOverride>
  </w:num>
  <w:num w:numId="7">
    <w:abstractNumId w:val="24"/>
    <w:lvlOverride w:ilvl="0">
      <w:lvl w:ilvl="0">
        <w:numFmt w:val="decimal"/>
        <w:pStyle w:val="DefinitionL1"/>
        <w:lvlText w:val=""/>
        <w:lvlJc w:val="left"/>
      </w:lvl>
    </w:lvlOverride>
    <w:lvlOverride w:ilvl="1">
      <w:lvl w:ilvl="1">
        <w:start w:val="1"/>
        <w:numFmt w:val="lowerLetter"/>
        <w:pStyle w:val="DefinitionL2"/>
        <w:lvlText w:val="(%2)"/>
        <w:lvlJc w:val="left"/>
        <w:pPr>
          <w:ind w:left="7061" w:hanging="681"/>
        </w:pPr>
        <w:rPr>
          <w:rFonts w:hint="default"/>
        </w:rPr>
      </w:lvl>
    </w:lvlOverride>
  </w:num>
  <w:num w:numId="8">
    <w:abstractNumId w:val="37"/>
  </w:num>
  <w:num w:numId="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5"/>
  </w:num>
  <w:num w:numId="12">
    <w:abstractNumId w:val="25"/>
    <w:lvlOverride w:ilvl="0">
      <w:lvl w:ilvl="0">
        <w:numFmt w:val="decimal"/>
        <w:pStyle w:val="ScheduleL1"/>
        <w:lvlText w:val=""/>
        <w:lvlJc w:val="left"/>
      </w:lvl>
    </w:lvlOverride>
    <w:lvlOverride w:ilvl="1">
      <w:lvl w:ilvl="1">
        <w:numFmt w:val="decimal"/>
        <w:pStyle w:val="ScheduleL2"/>
        <w:lvlText w:val=""/>
        <w:lvlJc w:val="left"/>
      </w:lvl>
    </w:lvlOverride>
    <w:lvlOverride w:ilvl="2">
      <w:lvl w:ilvl="2">
        <w:start w:val="1"/>
        <w:numFmt w:val="decimal"/>
        <w:pStyle w:val="ScheduleL3"/>
        <w:lvlText w:val="%2.%3"/>
        <w:lvlJc w:val="left"/>
        <w:pPr>
          <w:ind w:left="680" w:hanging="680"/>
        </w:pPr>
        <w:rPr>
          <w:rFonts w:hint="default"/>
        </w:rPr>
      </w:lvl>
    </w:lvlOverride>
  </w:num>
  <w:num w:numId="13">
    <w:abstractNumId w:val="15"/>
  </w:num>
  <w:num w:numId="14">
    <w:abstractNumId w:val="14"/>
  </w:num>
  <w:num w:numId="15">
    <w:abstractNumId w:val="7"/>
  </w:num>
  <w:num w:numId="16">
    <w:abstractNumId w:val="6"/>
  </w:num>
  <w:num w:numId="17">
    <w:abstractNumId w:val="8"/>
  </w:num>
  <w:num w:numId="18">
    <w:abstractNumId w:val="3"/>
  </w:num>
  <w:num w:numId="19">
    <w:abstractNumId w:val="2"/>
  </w:num>
  <w:num w:numId="20">
    <w:abstractNumId w:val="1"/>
  </w:num>
  <w:num w:numId="21">
    <w:abstractNumId w:val="0"/>
  </w:num>
  <w:num w:numId="22">
    <w:abstractNumId w:val="43"/>
  </w:num>
  <w:num w:numId="23">
    <w:abstractNumId w:val="36"/>
    <w:lvlOverride w:ilvl="0">
      <w:lvl w:ilvl="0">
        <w:start w:val="1"/>
        <w:numFmt w:val="upperLetter"/>
        <w:pStyle w:val="Level1"/>
        <w:lvlText w:val="%1"/>
        <w:lvlJc w:val="left"/>
        <w:pPr>
          <w:ind w:left="680" w:hanging="680"/>
        </w:pPr>
        <w:rPr>
          <w:rFonts w:ascii="Arial" w:hAnsi="Arial" w:hint="default"/>
          <w:b w:val="0"/>
          <w:i w:val="0"/>
          <w:sz w:val="20"/>
        </w:rPr>
      </w:lvl>
    </w:lvlOverride>
  </w:num>
  <w:num w:numId="24">
    <w:abstractNumId w:val="20"/>
  </w:num>
  <w:num w:numId="25">
    <w:abstractNumId w:val="33"/>
  </w:num>
  <w:num w:numId="26">
    <w:abstractNumId w:val="54"/>
  </w:num>
  <w:num w:numId="27">
    <w:abstractNumId w:val="51"/>
  </w:num>
  <w:num w:numId="28">
    <w:abstractNumId w:val="38"/>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5"/>
  </w:num>
  <w:num w:numId="31">
    <w:abstractNumId w:val="28"/>
  </w:num>
  <w:num w:numId="32">
    <w:abstractNumId w:val="29"/>
  </w:num>
  <w:num w:numId="33">
    <w:abstractNumId w:val="22"/>
  </w:num>
  <w:num w:numId="3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64"/>
  </w:num>
  <w:num w:numId="37">
    <w:abstractNumId w:val="32"/>
    <w:lvlOverride w:ilvl="0">
      <w:startOverride w:val="1"/>
      <w:lvl w:ilvl="0">
        <w:start w:val="1"/>
        <w:numFmt w:val="decimal"/>
        <w:pStyle w:val="MELegal1"/>
        <w:lvlText w:val="%1."/>
        <w:lvlJc w:val="left"/>
        <w:pPr>
          <w:ind w:left="680" w:hanging="680"/>
        </w:pPr>
        <w:rPr>
          <w:rFonts w:hint="default"/>
        </w:rPr>
      </w:lvl>
    </w:lvlOverride>
    <w:lvlOverride w:ilvl="1">
      <w:startOverride w:val="1"/>
      <w:lvl w:ilvl="1">
        <w:start w:val="1"/>
        <w:numFmt w:val="decimal"/>
        <w:pStyle w:val="MELegal2"/>
        <w:lvlText w:val="%1.%2"/>
        <w:lvlJc w:val="left"/>
        <w:pPr>
          <w:ind w:left="680" w:hanging="680"/>
        </w:pPr>
        <w:rPr>
          <w:rFonts w:hint="default"/>
        </w:rPr>
      </w:lvl>
    </w:lvlOverride>
    <w:lvlOverride w:ilvl="2">
      <w:startOverride w:val="1"/>
      <w:lvl w:ilvl="2">
        <w:start w:val="1"/>
        <w:numFmt w:val="lowerLetter"/>
        <w:pStyle w:val="MELegal3"/>
        <w:lvlText w:val="(%3)"/>
        <w:lvlJc w:val="left"/>
        <w:pPr>
          <w:ind w:left="1361" w:hanging="681"/>
        </w:pPr>
        <w:rPr>
          <w:rFonts w:hint="default"/>
          <w:b w:val="0"/>
        </w:rPr>
      </w:lvl>
    </w:lvlOverride>
    <w:lvlOverride w:ilvl="3">
      <w:startOverride w:val="1"/>
      <w:lvl w:ilvl="3">
        <w:start w:val="1"/>
        <w:numFmt w:val="lowerRoman"/>
        <w:pStyle w:val="MELegal4"/>
        <w:lvlText w:val="(%4)"/>
        <w:lvlJc w:val="left"/>
        <w:pPr>
          <w:ind w:left="2041" w:hanging="680"/>
        </w:pPr>
        <w:rPr>
          <w:rFonts w:hint="default"/>
        </w:rPr>
      </w:lvl>
    </w:lvlOverride>
    <w:lvlOverride w:ilvl="4">
      <w:startOverride w:val="1"/>
      <w:lvl w:ilvl="4">
        <w:start w:val="1"/>
        <w:numFmt w:val="upperLetter"/>
        <w:pStyle w:val="MELegal5"/>
        <w:lvlText w:val="(%5)"/>
        <w:lvlJc w:val="left"/>
        <w:pPr>
          <w:tabs>
            <w:tab w:val="num" w:pos="2041"/>
          </w:tabs>
          <w:ind w:left="2722" w:hanging="681"/>
        </w:pPr>
        <w:rPr>
          <w:rFonts w:hint="default"/>
        </w:rPr>
      </w:lvl>
    </w:lvlOverride>
    <w:lvlOverride w:ilvl="5">
      <w:startOverride w:val="1"/>
      <w:lvl w:ilvl="5">
        <w:start w:val="1"/>
        <w:numFmt w:val="upperRoman"/>
        <w:pStyle w:val="MELegal6"/>
        <w:lvlText w:val="(%6)"/>
        <w:lvlJc w:val="left"/>
        <w:pPr>
          <w:tabs>
            <w:tab w:val="num" w:pos="2722"/>
          </w:tabs>
          <w:ind w:left="3402" w:hanging="680"/>
        </w:pPr>
        <w:rPr>
          <w:rFonts w:hint="default"/>
        </w:rPr>
      </w:lvl>
    </w:lvlOverride>
    <w:lvlOverride w:ilvl="6">
      <w:startOverride w:val="1"/>
      <w:lvl w:ilvl="6">
        <w:start w:val="1"/>
        <w:numFmt w:val="none"/>
        <w:pStyle w:val="MELegal7"/>
        <w:lvlText w:val=""/>
        <w:lvlJc w:val="left"/>
        <w:pPr>
          <w:ind w:left="0" w:firstLine="0"/>
        </w:pPr>
        <w:rPr>
          <w:rFonts w:hint="default"/>
        </w:rPr>
      </w:lvl>
    </w:lvlOverride>
    <w:lvlOverride w:ilvl="7">
      <w:startOverride w:val="1"/>
      <w:lvl w:ilvl="7">
        <w:start w:val="1"/>
        <w:numFmt w:val="none"/>
        <w:pStyle w:val="MELegal8"/>
        <w:lvlText w:val=""/>
        <w:lvlJc w:val="left"/>
        <w:pPr>
          <w:ind w:left="0" w:firstLine="0"/>
        </w:pPr>
        <w:rPr>
          <w:rFonts w:hint="default"/>
        </w:rPr>
      </w:lvl>
    </w:lvlOverride>
    <w:lvlOverride w:ilvl="8">
      <w:startOverride w:val="1"/>
      <w:lvl w:ilvl="8">
        <w:start w:val="1"/>
        <w:numFmt w:val="none"/>
        <w:pStyle w:val="MELegal9"/>
        <w:lvlText w:val=""/>
        <w:lvlJc w:val="left"/>
        <w:pPr>
          <w:ind w:left="0" w:firstLine="0"/>
        </w:pPr>
        <w:rPr>
          <w:rFonts w:hint="default"/>
        </w:rPr>
      </w:lvl>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 w:ilvl="0">
        <w:start w:val="1"/>
        <w:numFmt w:val="decimal"/>
        <w:pStyle w:val="MEBasic1"/>
        <w:lvlText w:val=""/>
        <w:lvlJc w:val="left"/>
      </w:lvl>
    </w:lvlOverride>
    <w:lvlOverride w:ilvl="1">
      <w:startOverride w:val="1"/>
      <w:lvl w:ilvl="1">
        <w:start w:val="1"/>
        <w:numFmt w:val="decimal"/>
        <w:pStyle w:val="MEBasic2"/>
        <w:lvlText w:val=""/>
        <w:lvlJc w:val="left"/>
      </w:lvl>
    </w:lvlOverride>
    <w:lvlOverride w:ilvl="2">
      <w:startOverride w:val="1"/>
      <w:lvl w:ilvl="2">
        <w:start w:val="1"/>
        <w:numFmt w:val="decimal"/>
        <w:pStyle w:val="MEBasic3"/>
        <w:lvlText w:val=""/>
        <w:lvlJc w:val="left"/>
      </w:lvl>
    </w:lvlOverride>
    <w:lvlOverride w:ilvl="3">
      <w:startOverride w:val="1"/>
      <w:lvl w:ilvl="3">
        <w:start w:val="1"/>
        <w:numFmt w:val="lowerRoman"/>
        <w:pStyle w:val="MEBasic4"/>
        <w:lvlText w:val="(%4)"/>
        <w:lvlJc w:val="left"/>
        <w:pPr>
          <w:ind w:left="2041" w:hanging="680"/>
        </w:pPr>
        <w:rPr>
          <w:rFonts w:hint="default"/>
          <w:b w:val="0"/>
        </w:rPr>
      </w:lvl>
    </w:lvlOverride>
    <w:lvlOverride w:ilvl="4">
      <w:startOverride w:val="1"/>
      <w:lvl w:ilvl="4">
        <w:start w:val="1"/>
        <w:numFmt w:val="decimal"/>
        <w:pStyle w:val="MEBasic5"/>
        <w:lvlText w:val=""/>
        <w:lvlJc w:val="left"/>
      </w:lvl>
    </w:lvlOverride>
    <w:lvlOverride w:ilvl="5">
      <w:startOverride w:val="1"/>
      <w:lvl w:ilvl="5">
        <w:start w:val="1"/>
        <w:numFmt w:val="decimal"/>
        <w:pStyle w:val="MEBasic6"/>
        <w:lvlText w:val=""/>
        <w:lvlJc w:val="left"/>
      </w:lvl>
    </w:lvlOverride>
  </w:num>
  <w:num w:numId="40">
    <w:abstractNumId w:val="32"/>
    <w:lvlOverride w:ilvl="0">
      <w:startOverride w:val="1"/>
      <w:lvl w:ilvl="0">
        <w:start w:val="1"/>
        <w:numFmt w:val="decimal"/>
        <w:pStyle w:val="MELegal1"/>
        <w:lvlText w:val="%1."/>
        <w:lvlJc w:val="left"/>
        <w:pPr>
          <w:ind w:left="680" w:hanging="680"/>
        </w:pPr>
        <w:rPr>
          <w:rFonts w:hint="default"/>
        </w:rPr>
      </w:lvl>
    </w:lvlOverride>
    <w:lvlOverride w:ilvl="1">
      <w:startOverride w:val="1"/>
      <w:lvl w:ilvl="1">
        <w:start w:val="1"/>
        <w:numFmt w:val="decimal"/>
        <w:pStyle w:val="MELegal2"/>
        <w:lvlText w:val="%1.%2"/>
        <w:lvlJc w:val="left"/>
        <w:pPr>
          <w:ind w:left="680" w:hanging="680"/>
        </w:pPr>
        <w:rPr>
          <w:rFonts w:hint="default"/>
        </w:rPr>
      </w:lvl>
    </w:lvlOverride>
    <w:lvlOverride w:ilvl="2">
      <w:startOverride w:val="1"/>
      <w:lvl w:ilvl="2">
        <w:start w:val="1"/>
        <w:numFmt w:val="lowerLetter"/>
        <w:pStyle w:val="MELegal3"/>
        <w:lvlText w:val="(%3)"/>
        <w:lvlJc w:val="left"/>
        <w:pPr>
          <w:ind w:left="1361" w:hanging="681"/>
        </w:pPr>
        <w:rPr>
          <w:rFonts w:hint="default"/>
          <w:b w:val="0"/>
        </w:rPr>
      </w:lvl>
    </w:lvlOverride>
    <w:lvlOverride w:ilvl="3">
      <w:startOverride w:val="1"/>
      <w:lvl w:ilvl="3">
        <w:start w:val="1"/>
        <w:numFmt w:val="lowerRoman"/>
        <w:pStyle w:val="MELegal4"/>
        <w:lvlText w:val="(%4)"/>
        <w:lvlJc w:val="left"/>
        <w:pPr>
          <w:ind w:left="2041" w:hanging="680"/>
        </w:pPr>
        <w:rPr>
          <w:rFonts w:hint="default"/>
        </w:rPr>
      </w:lvl>
    </w:lvlOverride>
    <w:lvlOverride w:ilvl="4">
      <w:startOverride w:val="1"/>
      <w:lvl w:ilvl="4">
        <w:start w:val="1"/>
        <w:numFmt w:val="upperLetter"/>
        <w:pStyle w:val="MELegal5"/>
        <w:lvlText w:val="(%5)"/>
        <w:lvlJc w:val="left"/>
        <w:pPr>
          <w:tabs>
            <w:tab w:val="num" w:pos="2041"/>
          </w:tabs>
          <w:ind w:left="2722" w:hanging="681"/>
        </w:pPr>
        <w:rPr>
          <w:rFonts w:hint="default"/>
        </w:rPr>
      </w:lvl>
    </w:lvlOverride>
    <w:lvlOverride w:ilvl="5">
      <w:startOverride w:val="1"/>
      <w:lvl w:ilvl="5">
        <w:start w:val="1"/>
        <w:numFmt w:val="upperRoman"/>
        <w:pStyle w:val="MELegal6"/>
        <w:lvlText w:val="(%6)"/>
        <w:lvlJc w:val="left"/>
        <w:pPr>
          <w:tabs>
            <w:tab w:val="num" w:pos="2722"/>
          </w:tabs>
          <w:ind w:left="3402" w:hanging="680"/>
        </w:pPr>
        <w:rPr>
          <w:rFonts w:hint="default"/>
        </w:rPr>
      </w:lvl>
    </w:lvlOverride>
    <w:lvlOverride w:ilvl="6">
      <w:startOverride w:val="1"/>
      <w:lvl w:ilvl="6">
        <w:start w:val="1"/>
        <w:numFmt w:val="none"/>
        <w:pStyle w:val="MELegal7"/>
        <w:lvlText w:val=""/>
        <w:lvlJc w:val="left"/>
        <w:pPr>
          <w:ind w:left="0" w:firstLine="0"/>
        </w:pPr>
        <w:rPr>
          <w:rFonts w:hint="default"/>
        </w:rPr>
      </w:lvl>
    </w:lvlOverride>
    <w:lvlOverride w:ilvl="7">
      <w:startOverride w:val="1"/>
      <w:lvl w:ilvl="7">
        <w:start w:val="1"/>
        <w:numFmt w:val="none"/>
        <w:pStyle w:val="MELegal8"/>
        <w:lvlText w:val=""/>
        <w:lvlJc w:val="left"/>
        <w:pPr>
          <w:ind w:left="0" w:firstLine="0"/>
        </w:pPr>
        <w:rPr>
          <w:rFonts w:hint="default"/>
        </w:rPr>
      </w:lvl>
    </w:lvlOverride>
    <w:lvlOverride w:ilvl="8">
      <w:startOverride w:val="1"/>
      <w:lvl w:ilvl="8">
        <w:start w:val="1"/>
        <w:numFmt w:val="none"/>
        <w:pStyle w:val="MELegal9"/>
        <w:lvlText w:val=""/>
        <w:lvlJc w:val="left"/>
        <w:pPr>
          <w:ind w:left="0" w:firstLine="0"/>
        </w:pPr>
        <w:rPr>
          <w:rFonts w:hint="default"/>
        </w:rPr>
      </w:lvl>
    </w:lvlOverride>
  </w:num>
  <w:num w:numId="41">
    <w:abstractNumId w:val="32"/>
    <w:lvlOverride w:ilvl="0">
      <w:lvl w:ilvl="0">
        <w:start w:val="1"/>
        <w:numFmt w:val="decimal"/>
        <w:pStyle w:val="MELegal1"/>
        <w:lvlText w:val="%1."/>
        <w:lvlJc w:val="left"/>
        <w:pPr>
          <w:ind w:left="680" w:hanging="680"/>
        </w:pPr>
        <w:rPr>
          <w:rFonts w:hint="default"/>
        </w:rPr>
      </w:lvl>
    </w:lvlOverride>
    <w:lvlOverride w:ilvl="1">
      <w:lvl w:ilvl="1">
        <w:start w:val="1"/>
        <w:numFmt w:val="decimal"/>
        <w:pStyle w:val="MELegal2"/>
        <w:lvlText w:val="%1.%2"/>
        <w:lvlJc w:val="left"/>
        <w:pPr>
          <w:ind w:left="680" w:hanging="680"/>
        </w:pPr>
        <w:rPr>
          <w:rFonts w:hint="default"/>
        </w:rPr>
      </w:lvl>
    </w:lvlOverride>
    <w:lvlOverride w:ilvl="2">
      <w:lvl w:ilvl="2">
        <w:start w:val="1"/>
        <w:numFmt w:val="lowerLetter"/>
        <w:pStyle w:val="MELegal3"/>
        <w:lvlText w:val="(%3)"/>
        <w:lvlJc w:val="left"/>
        <w:pPr>
          <w:ind w:left="1361" w:hanging="681"/>
        </w:pPr>
        <w:rPr>
          <w:rFonts w:hint="default"/>
          <w:b w:val="0"/>
        </w:rPr>
      </w:lvl>
    </w:lvlOverride>
    <w:lvlOverride w:ilvl="3">
      <w:lvl w:ilvl="3">
        <w:start w:val="1"/>
        <w:numFmt w:val="lowerRoman"/>
        <w:pStyle w:val="MELegal4"/>
        <w:lvlText w:val="(%4)"/>
        <w:lvlJc w:val="left"/>
        <w:pPr>
          <w:ind w:left="2041" w:hanging="680"/>
        </w:pPr>
        <w:rPr>
          <w:rFonts w:hint="default"/>
        </w:rPr>
      </w:lvl>
    </w:lvlOverride>
    <w:lvlOverride w:ilvl="4">
      <w:lvl w:ilvl="4">
        <w:start w:val="1"/>
        <w:numFmt w:val="upperLetter"/>
        <w:pStyle w:val="MELegal5"/>
        <w:lvlText w:val="(%5)"/>
        <w:lvlJc w:val="left"/>
        <w:pPr>
          <w:tabs>
            <w:tab w:val="num" w:pos="2041"/>
          </w:tabs>
          <w:ind w:left="2722" w:hanging="681"/>
        </w:pPr>
        <w:rPr>
          <w:rFonts w:hint="default"/>
        </w:rPr>
      </w:lvl>
    </w:lvlOverride>
    <w:lvlOverride w:ilvl="5">
      <w:lvl w:ilvl="5">
        <w:start w:val="1"/>
        <w:numFmt w:val="upperRoman"/>
        <w:pStyle w:val="MELegal6"/>
        <w:lvlText w:val="(%6)"/>
        <w:lvlJc w:val="left"/>
        <w:pPr>
          <w:tabs>
            <w:tab w:val="num" w:pos="2722"/>
          </w:tabs>
          <w:ind w:left="3402" w:hanging="680"/>
        </w:pPr>
        <w:rPr>
          <w:rFonts w:hint="default"/>
        </w:rPr>
      </w:lvl>
    </w:lvlOverride>
    <w:lvlOverride w:ilvl="6">
      <w:lvl w:ilvl="6">
        <w:start w:val="1"/>
        <w:numFmt w:val="none"/>
        <w:pStyle w:val="MELegal7"/>
        <w:lvlText w:val=""/>
        <w:lvlJc w:val="left"/>
        <w:pPr>
          <w:ind w:left="0" w:firstLine="0"/>
        </w:pPr>
        <w:rPr>
          <w:rFonts w:hint="default"/>
        </w:rPr>
      </w:lvl>
    </w:lvlOverride>
    <w:lvlOverride w:ilvl="7">
      <w:lvl w:ilvl="7">
        <w:start w:val="1"/>
        <w:numFmt w:val="none"/>
        <w:pStyle w:val="MELegal8"/>
        <w:lvlText w:val=""/>
        <w:lvlJc w:val="left"/>
        <w:pPr>
          <w:ind w:left="0" w:firstLine="0"/>
        </w:pPr>
        <w:rPr>
          <w:rFonts w:hint="default"/>
        </w:rPr>
      </w:lvl>
    </w:lvlOverride>
    <w:lvlOverride w:ilvl="8">
      <w:lvl w:ilvl="8">
        <w:start w:val="1"/>
        <w:numFmt w:val="none"/>
        <w:pStyle w:val="MELegal9"/>
        <w:lvlText w:val=""/>
        <w:lvlJc w:val="left"/>
        <w:pPr>
          <w:ind w:left="0" w:firstLine="0"/>
        </w:pPr>
        <w:rPr>
          <w:rFonts w:hint="default"/>
        </w:rPr>
      </w:lvl>
    </w:lvlOverride>
  </w:num>
  <w:num w:numId="42">
    <w:abstractNumId w:val="45"/>
  </w:num>
  <w:num w:numId="43">
    <w:abstractNumId w:val="53"/>
  </w:num>
  <w:num w:numId="44">
    <w:abstractNumId w:val="27"/>
  </w:num>
  <w:num w:numId="45">
    <w:abstractNumId w:val="24"/>
  </w:num>
  <w:num w:numId="46">
    <w:abstractNumId w:val="32"/>
    <w:lvlOverride w:ilvl="0">
      <w:startOverride w:val="1"/>
      <w:lvl w:ilvl="0">
        <w:start w:val="1"/>
        <w:numFmt w:val="decimal"/>
        <w:pStyle w:val="MELegal1"/>
        <w:lvlText w:val="%1."/>
        <w:lvlJc w:val="left"/>
        <w:pPr>
          <w:ind w:left="680" w:hanging="680"/>
        </w:pPr>
        <w:rPr>
          <w:rFonts w:hint="default"/>
        </w:rPr>
      </w:lvl>
    </w:lvlOverride>
    <w:lvlOverride w:ilvl="1">
      <w:startOverride w:val="1"/>
      <w:lvl w:ilvl="1">
        <w:start w:val="1"/>
        <w:numFmt w:val="decimal"/>
        <w:pStyle w:val="MELegal2"/>
        <w:lvlText w:val="%1.%2"/>
        <w:lvlJc w:val="left"/>
        <w:pPr>
          <w:ind w:left="680" w:hanging="680"/>
        </w:pPr>
        <w:rPr>
          <w:rFonts w:hint="default"/>
        </w:rPr>
      </w:lvl>
    </w:lvlOverride>
    <w:lvlOverride w:ilvl="2">
      <w:startOverride w:val="1"/>
      <w:lvl w:ilvl="2">
        <w:start w:val="1"/>
        <w:numFmt w:val="lowerLetter"/>
        <w:pStyle w:val="MELegal3"/>
        <w:lvlText w:val="(%3)"/>
        <w:lvlJc w:val="left"/>
        <w:pPr>
          <w:ind w:left="1361" w:hanging="681"/>
        </w:pPr>
        <w:rPr>
          <w:rFonts w:hint="default"/>
          <w:b w:val="0"/>
        </w:rPr>
      </w:lvl>
    </w:lvlOverride>
    <w:lvlOverride w:ilvl="3">
      <w:startOverride w:val="1"/>
      <w:lvl w:ilvl="3">
        <w:start w:val="1"/>
        <w:numFmt w:val="lowerRoman"/>
        <w:pStyle w:val="MELegal4"/>
        <w:lvlText w:val="(%4)"/>
        <w:lvlJc w:val="left"/>
        <w:pPr>
          <w:ind w:left="2041" w:hanging="680"/>
        </w:pPr>
        <w:rPr>
          <w:rFonts w:hint="default"/>
        </w:rPr>
      </w:lvl>
    </w:lvlOverride>
    <w:lvlOverride w:ilvl="4">
      <w:startOverride w:val="1"/>
      <w:lvl w:ilvl="4">
        <w:start w:val="1"/>
        <w:numFmt w:val="upperLetter"/>
        <w:pStyle w:val="MELegal5"/>
        <w:lvlText w:val="(%5)"/>
        <w:lvlJc w:val="left"/>
        <w:pPr>
          <w:tabs>
            <w:tab w:val="num" w:pos="2041"/>
          </w:tabs>
          <w:ind w:left="2722" w:hanging="681"/>
        </w:pPr>
        <w:rPr>
          <w:rFonts w:hint="default"/>
        </w:rPr>
      </w:lvl>
    </w:lvlOverride>
    <w:lvlOverride w:ilvl="5">
      <w:startOverride w:val="1"/>
      <w:lvl w:ilvl="5">
        <w:start w:val="1"/>
        <w:numFmt w:val="upperRoman"/>
        <w:pStyle w:val="MELegal6"/>
        <w:lvlText w:val="(%6)"/>
        <w:lvlJc w:val="left"/>
        <w:pPr>
          <w:tabs>
            <w:tab w:val="num" w:pos="2722"/>
          </w:tabs>
          <w:ind w:left="3402" w:hanging="680"/>
        </w:pPr>
        <w:rPr>
          <w:rFonts w:hint="default"/>
        </w:rPr>
      </w:lvl>
    </w:lvlOverride>
    <w:lvlOverride w:ilvl="6">
      <w:startOverride w:val="1"/>
      <w:lvl w:ilvl="6">
        <w:start w:val="1"/>
        <w:numFmt w:val="none"/>
        <w:pStyle w:val="MELegal7"/>
        <w:lvlText w:val=""/>
        <w:lvlJc w:val="left"/>
        <w:pPr>
          <w:ind w:left="0" w:firstLine="0"/>
        </w:pPr>
        <w:rPr>
          <w:rFonts w:hint="default"/>
        </w:rPr>
      </w:lvl>
    </w:lvlOverride>
    <w:lvlOverride w:ilvl="7">
      <w:startOverride w:val="1"/>
      <w:lvl w:ilvl="7">
        <w:start w:val="1"/>
        <w:numFmt w:val="none"/>
        <w:pStyle w:val="MELegal8"/>
        <w:lvlText w:val=""/>
        <w:lvlJc w:val="left"/>
        <w:pPr>
          <w:ind w:left="0" w:firstLine="0"/>
        </w:pPr>
        <w:rPr>
          <w:rFonts w:hint="default"/>
        </w:rPr>
      </w:lvl>
    </w:lvlOverride>
    <w:lvlOverride w:ilvl="8">
      <w:startOverride w:val="1"/>
      <w:lvl w:ilvl="8">
        <w:start w:val="1"/>
        <w:numFmt w:val="none"/>
        <w:pStyle w:val="MELegal9"/>
        <w:lvlText w:val=""/>
        <w:lvlJc w:val="left"/>
        <w:pPr>
          <w:ind w:left="0" w:firstLine="0"/>
        </w:pPr>
        <w:rPr>
          <w:rFonts w:hint="default"/>
        </w:rPr>
      </w:lvl>
    </w:lvlOverride>
  </w:num>
  <w:num w:numId="47">
    <w:abstractNumId w:val="47"/>
  </w:num>
  <w:num w:numId="48">
    <w:abstractNumId w:val="39"/>
  </w:num>
  <w:num w:numId="49">
    <w:abstractNumId w:val="57"/>
  </w:num>
  <w:num w:numId="50">
    <w:abstractNumId w:val="11"/>
  </w:num>
  <w:num w:numId="51">
    <w:abstractNumId w:val="66"/>
  </w:num>
  <w:num w:numId="52">
    <w:abstractNumId w:val="42"/>
  </w:num>
  <w:num w:numId="53">
    <w:abstractNumId w:val="62"/>
  </w:num>
  <w:num w:numId="54">
    <w:abstractNumId w:val="50"/>
  </w:num>
  <w:num w:numId="55">
    <w:abstractNumId w:val="32"/>
    <w:lvlOverride w:ilvl="0">
      <w:lvl w:ilvl="0">
        <w:start w:val="1"/>
        <w:numFmt w:val="decimal"/>
        <w:pStyle w:val="MELegal1"/>
        <w:lvlText w:val="%1."/>
        <w:lvlJc w:val="left"/>
        <w:pPr>
          <w:ind w:left="680" w:hanging="680"/>
        </w:pPr>
        <w:rPr>
          <w:rFonts w:hint="default"/>
        </w:rPr>
      </w:lvl>
    </w:lvlOverride>
    <w:lvlOverride w:ilvl="1">
      <w:lvl w:ilvl="1">
        <w:start w:val="1"/>
        <w:numFmt w:val="decimal"/>
        <w:pStyle w:val="MELegal2"/>
        <w:lvlText w:val="%1.%2"/>
        <w:lvlJc w:val="left"/>
        <w:pPr>
          <w:ind w:left="680" w:hanging="680"/>
        </w:pPr>
        <w:rPr>
          <w:rFonts w:hint="default"/>
        </w:rPr>
      </w:lvl>
    </w:lvlOverride>
    <w:lvlOverride w:ilvl="2">
      <w:lvl w:ilvl="2">
        <w:start w:val="1"/>
        <w:numFmt w:val="lowerLetter"/>
        <w:pStyle w:val="MELegal3"/>
        <w:lvlText w:val="(%3)"/>
        <w:lvlJc w:val="left"/>
        <w:pPr>
          <w:ind w:left="1361" w:hanging="681"/>
        </w:pPr>
        <w:rPr>
          <w:rFonts w:hint="default"/>
        </w:rPr>
      </w:lvl>
    </w:lvlOverride>
    <w:lvlOverride w:ilvl="3">
      <w:lvl w:ilvl="3">
        <w:start w:val="1"/>
        <w:numFmt w:val="lowerRoman"/>
        <w:pStyle w:val="MELegal4"/>
        <w:lvlText w:val="(%4)"/>
        <w:lvlJc w:val="left"/>
        <w:pPr>
          <w:ind w:left="2041" w:hanging="680"/>
        </w:pPr>
        <w:rPr>
          <w:rFonts w:hint="default"/>
        </w:rPr>
      </w:lvl>
    </w:lvlOverride>
    <w:lvlOverride w:ilvl="4">
      <w:lvl w:ilvl="4">
        <w:start w:val="1"/>
        <w:numFmt w:val="upperLetter"/>
        <w:pStyle w:val="MELegal5"/>
        <w:lvlText w:val="(%5)"/>
        <w:lvlJc w:val="left"/>
        <w:pPr>
          <w:tabs>
            <w:tab w:val="num" w:pos="2041"/>
          </w:tabs>
          <w:ind w:left="2722" w:hanging="681"/>
        </w:pPr>
        <w:rPr>
          <w:rFonts w:hint="default"/>
        </w:rPr>
      </w:lvl>
    </w:lvlOverride>
    <w:lvlOverride w:ilvl="5">
      <w:lvl w:ilvl="5">
        <w:start w:val="1"/>
        <w:numFmt w:val="upperRoman"/>
        <w:pStyle w:val="MELegal6"/>
        <w:lvlText w:val="(%6)"/>
        <w:lvlJc w:val="left"/>
        <w:pPr>
          <w:tabs>
            <w:tab w:val="num" w:pos="2722"/>
          </w:tabs>
          <w:ind w:left="3402" w:hanging="680"/>
        </w:pPr>
        <w:rPr>
          <w:rFonts w:hint="default"/>
        </w:rPr>
      </w:lvl>
    </w:lvlOverride>
    <w:lvlOverride w:ilvl="6">
      <w:lvl w:ilvl="6">
        <w:start w:val="1"/>
        <w:numFmt w:val="none"/>
        <w:pStyle w:val="MELegal7"/>
        <w:lvlText w:val=""/>
        <w:lvlJc w:val="left"/>
        <w:pPr>
          <w:ind w:left="0" w:firstLine="0"/>
        </w:pPr>
        <w:rPr>
          <w:rFonts w:hint="default"/>
        </w:rPr>
      </w:lvl>
    </w:lvlOverride>
    <w:lvlOverride w:ilvl="7">
      <w:lvl w:ilvl="7">
        <w:start w:val="1"/>
        <w:numFmt w:val="none"/>
        <w:pStyle w:val="MELegal8"/>
        <w:lvlText w:val=""/>
        <w:lvlJc w:val="left"/>
        <w:pPr>
          <w:ind w:left="0" w:firstLine="0"/>
        </w:pPr>
        <w:rPr>
          <w:rFonts w:hint="default"/>
        </w:rPr>
      </w:lvl>
    </w:lvlOverride>
    <w:lvlOverride w:ilvl="8">
      <w:lvl w:ilvl="8">
        <w:start w:val="1"/>
        <w:numFmt w:val="none"/>
        <w:pStyle w:val="MELegal9"/>
        <w:lvlText w:val=""/>
        <w:lvlJc w:val="left"/>
        <w:pPr>
          <w:ind w:left="0" w:firstLine="0"/>
        </w:pPr>
        <w:rPr>
          <w:rFonts w:hint="default"/>
        </w:rPr>
      </w:lvl>
    </w:lvlOverride>
  </w:num>
  <w:num w:numId="56">
    <w:abstractNumId w:val="23"/>
  </w:num>
  <w:num w:numId="57">
    <w:abstractNumId w:val="17"/>
  </w:num>
  <w:num w:numId="58">
    <w:abstractNumId w:val="32"/>
    <w:lvlOverride w:ilvl="0">
      <w:lvl w:ilvl="0">
        <w:start w:val="1"/>
        <w:numFmt w:val="decimal"/>
        <w:pStyle w:val="MELegal1"/>
        <w:lvlText w:val="%1."/>
        <w:lvlJc w:val="left"/>
        <w:pPr>
          <w:ind w:left="680" w:hanging="680"/>
        </w:pPr>
        <w:rPr>
          <w:rFonts w:hint="default"/>
        </w:rPr>
      </w:lvl>
    </w:lvlOverride>
    <w:lvlOverride w:ilvl="1">
      <w:lvl w:ilvl="1">
        <w:start w:val="1"/>
        <w:numFmt w:val="decimal"/>
        <w:pStyle w:val="MELegal2"/>
        <w:lvlText w:val="%1.%2"/>
        <w:lvlJc w:val="left"/>
        <w:pPr>
          <w:ind w:left="680" w:hanging="680"/>
        </w:pPr>
        <w:rPr>
          <w:rFonts w:hint="default"/>
        </w:rPr>
      </w:lvl>
    </w:lvlOverride>
    <w:lvlOverride w:ilvl="2">
      <w:lvl w:ilvl="2">
        <w:start w:val="1"/>
        <w:numFmt w:val="lowerLetter"/>
        <w:pStyle w:val="MELegal3"/>
        <w:lvlText w:val="(%3)"/>
        <w:lvlJc w:val="left"/>
        <w:pPr>
          <w:ind w:left="1361" w:hanging="681"/>
        </w:pPr>
        <w:rPr>
          <w:rFonts w:hint="default"/>
          <w:b w:val="0"/>
          <w:i w:val="0"/>
        </w:rPr>
      </w:lvl>
    </w:lvlOverride>
    <w:lvlOverride w:ilvl="3">
      <w:lvl w:ilvl="3">
        <w:start w:val="1"/>
        <w:numFmt w:val="lowerRoman"/>
        <w:pStyle w:val="MELegal4"/>
        <w:lvlText w:val="(%4)"/>
        <w:lvlJc w:val="left"/>
        <w:pPr>
          <w:ind w:left="2041" w:hanging="680"/>
        </w:pPr>
        <w:rPr>
          <w:rFonts w:hint="default"/>
        </w:rPr>
      </w:lvl>
    </w:lvlOverride>
    <w:lvlOverride w:ilvl="4">
      <w:lvl w:ilvl="4">
        <w:start w:val="1"/>
        <w:numFmt w:val="upperLetter"/>
        <w:pStyle w:val="MELegal5"/>
        <w:lvlText w:val="(%5)"/>
        <w:lvlJc w:val="left"/>
        <w:pPr>
          <w:tabs>
            <w:tab w:val="num" w:pos="2127"/>
          </w:tabs>
          <w:ind w:left="2808" w:hanging="681"/>
        </w:pPr>
        <w:rPr>
          <w:rFonts w:hint="default"/>
        </w:rPr>
      </w:lvl>
    </w:lvlOverride>
    <w:lvlOverride w:ilvl="5">
      <w:lvl w:ilvl="5">
        <w:start w:val="1"/>
        <w:numFmt w:val="upperRoman"/>
        <w:pStyle w:val="MELegal6"/>
        <w:lvlText w:val="(%6)"/>
        <w:lvlJc w:val="left"/>
        <w:pPr>
          <w:tabs>
            <w:tab w:val="num" w:pos="2722"/>
          </w:tabs>
          <w:ind w:left="3402" w:hanging="680"/>
        </w:pPr>
        <w:rPr>
          <w:rFonts w:hint="default"/>
        </w:rPr>
      </w:lvl>
    </w:lvlOverride>
    <w:lvlOverride w:ilvl="6">
      <w:lvl w:ilvl="6">
        <w:start w:val="1"/>
        <w:numFmt w:val="none"/>
        <w:pStyle w:val="MELegal7"/>
        <w:lvlText w:val=""/>
        <w:lvlJc w:val="left"/>
        <w:pPr>
          <w:ind w:left="0" w:firstLine="0"/>
        </w:pPr>
        <w:rPr>
          <w:rFonts w:hint="default"/>
        </w:rPr>
      </w:lvl>
    </w:lvlOverride>
    <w:lvlOverride w:ilvl="7">
      <w:lvl w:ilvl="7">
        <w:start w:val="1"/>
        <w:numFmt w:val="none"/>
        <w:pStyle w:val="MELegal8"/>
        <w:lvlText w:val=""/>
        <w:lvlJc w:val="left"/>
        <w:pPr>
          <w:ind w:left="0" w:firstLine="0"/>
        </w:pPr>
        <w:rPr>
          <w:rFonts w:hint="default"/>
        </w:rPr>
      </w:lvl>
    </w:lvlOverride>
    <w:lvlOverride w:ilvl="8">
      <w:lvl w:ilvl="8">
        <w:start w:val="1"/>
        <w:numFmt w:val="none"/>
        <w:pStyle w:val="MELegal9"/>
        <w:lvlText w:val=""/>
        <w:lvlJc w:val="left"/>
        <w:pPr>
          <w:ind w:left="0" w:firstLine="0"/>
        </w:pPr>
        <w:rPr>
          <w:rFonts w:hint="default"/>
        </w:rPr>
      </w:lvl>
    </w:lvlOverride>
  </w:num>
  <w:num w:numId="59">
    <w:abstractNumId w:val="24"/>
    <w:lvlOverride w:ilvl="0">
      <w:lvl w:ilvl="0">
        <w:start w:val="1"/>
        <w:numFmt w:val="none"/>
        <w:pStyle w:val="DefinitionL1"/>
        <w:suff w:val="nothing"/>
        <w:lvlText w:val=""/>
        <w:lvlJc w:val="left"/>
        <w:pPr>
          <w:ind w:left="680" w:firstLine="0"/>
        </w:pPr>
        <w:rPr>
          <w:rFonts w:hint="default"/>
        </w:rPr>
      </w:lvl>
    </w:lvlOverride>
    <w:lvlOverride w:ilvl="1">
      <w:lvl w:ilvl="1">
        <w:start w:val="1"/>
        <w:numFmt w:val="lowerLetter"/>
        <w:pStyle w:val="DefinitionL2"/>
        <w:lvlText w:val="(%2)"/>
        <w:lvlJc w:val="left"/>
        <w:pPr>
          <w:ind w:left="1361" w:hanging="681"/>
        </w:pPr>
        <w:rPr>
          <w:rFonts w:hint="default"/>
        </w:rPr>
      </w:lvl>
    </w:lvlOverride>
    <w:lvlOverride w:ilvl="2">
      <w:lvl w:ilvl="2">
        <w:start w:val="1"/>
        <w:numFmt w:val="lowerRoman"/>
        <w:pStyle w:val="DefinitionL3"/>
        <w:lvlText w:val="(%3)"/>
        <w:lvlJc w:val="left"/>
        <w:pPr>
          <w:tabs>
            <w:tab w:val="num" w:pos="1361"/>
          </w:tabs>
          <w:ind w:left="2041" w:hanging="680"/>
        </w:pPr>
        <w:rPr>
          <w:rFonts w:hint="default"/>
        </w:rPr>
      </w:lvl>
    </w:lvlOverride>
    <w:lvlOverride w:ilvl="3">
      <w:lvl w:ilvl="3">
        <w:start w:val="1"/>
        <w:numFmt w:val="none"/>
        <w:pStyle w:val="DefinitionL4"/>
        <w:lvlText w:val=""/>
        <w:lvlJc w:val="left"/>
        <w:pPr>
          <w:ind w:left="1440" w:hanging="360"/>
        </w:pPr>
        <w:rPr>
          <w:rFonts w:hint="default"/>
        </w:rPr>
      </w:lvl>
    </w:lvlOverride>
    <w:lvlOverride w:ilvl="4">
      <w:lvl w:ilvl="4">
        <w:start w:val="1"/>
        <w:numFmt w:val="none"/>
        <w:pStyle w:val="DefinitionL5"/>
        <w:lvlText w:val=""/>
        <w:lvlJc w:val="left"/>
        <w:pPr>
          <w:ind w:left="1800" w:hanging="360"/>
        </w:pPr>
        <w:rPr>
          <w:rFonts w:hint="default"/>
        </w:rPr>
      </w:lvl>
    </w:lvlOverride>
    <w:lvlOverride w:ilvl="5">
      <w:lvl w:ilvl="5">
        <w:start w:val="1"/>
        <w:numFmt w:val="none"/>
        <w:pStyle w:val="DefinitionL6"/>
        <w:lvlText w:val=""/>
        <w:lvlJc w:val="left"/>
        <w:pPr>
          <w:ind w:left="2160" w:hanging="360"/>
        </w:pPr>
        <w:rPr>
          <w:rFonts w:hint="default"/>
        </w:rPr>
      </w:lvl>
    </w:lvlOverride>
    <w:lvlOverride w:ilvl="6">
      <w:lvl w:ilvl="6">
        <w:start w:val="1"/>
        <w:numFmt w:val="none"/>
        <w:pStyle w:val="DefinitionL7"/>
        <w:lvlText w:val=""/>
        <w:lvlJc w:val="left"/>
        <w:pPr>
          <w:ind w:left="2520" w:hanging="360"/>
        </w:pPr>
        <w:rPr>
          <w:rFonts w:hint="default"/>
        </w:rPr>
      </w:lvl>
    </w:lvlOverride>
    <w:lvlOverride w:ilvl="7">
      <w:lvl w:ilvl="7">
        <w:start w:val="1"/>
        <w:numFmt w:val="none"/>
        <w:pStyle w:val="DefinitionL8"/>
        <w:lvlText w:val=""/>
        <w:lvlJc w:val="left"/>
        <w:pPr>
          <w:ind w:left="2880" w:hanging="360"/>
        </w:pPr>
        <w:rPr>
          <w:rFonts w:hint="default"/>
        </w:rPr>
      </w:lvl>
    </w:lvlOverride>
    <w:lvlOverride w:ilvl="8">
      <w:lvl w:ilvl="8">
        <w:start w:val="1"/>
        <w:numFmt w:val="none"/>
        <w:pStyle w:val="DefinitionL9"/>
        <w:lvlText w:val=""/>
        <w:lvlJc w:val="left"/>
        <w:pPr>
          <w:ind w:left="3240" w:hanging="360"/>
        </w:pPr>
        <w:rPr>
          <w:rFonts w:hint="default"/>
        </w:rPr>
      </w:lvl>
    </w:lvlOverride>
  </w:num>
  <w:num w:numId="60">
    <w:abstractNumId w:val="24"/>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1361"/>
          </w:tabs>
          <w:ind w:left="2041" w:hanging="680"/>
        </w:pPr>
        <w:rPr>
          <w:rFonts w:hint="default"/>
        </w:rPr>
      </w:lvl>
    </w:lvlOverride>
    <w:lvlOverride w:ilvl="3">
      <w:startOverride w:val="1"/>
      <w:lvl w:ilvl="3">
        <w:start w:val="1"/>
        <w:numFmt w:val="none"/>
        <w:pStyle w:val="DefinitionL4"/>
        <w:lvlText w:val=""/>
        <w:lvlJc w:val="left"/>
        <w:pPr>
          <w:ind w:left="1440" w:hanging="360"/>
        </w:pPr>
        <w:rPr>
          <w:rFonts w:hint="default"/>
        </w:rPr>
      </w:lvl>
    </w:lvlOverride>
    <w:lvlOverride w:ilvl="4">
      <w:startOverride w:val="1"/>
      <w:lvl w:ilvl="4">
        <w:start w:val="1"/>
        <w:numFmt w:val="none"/>
        <w:pStyle w:val="DefinitionL5"/>
        <w:lvlText w:val=""/>
        <w:lvlJc w:val="left"/>
        <w:pPr>
          <w:ind w:left="1800" w:hanging="360"/>
        </w:pPr>
        <w:rPr>
          <w:rFonts w:hint="default"/>
        </w:rPr>
      </w:lvl>
    </w:lvlOverride>
    <w:lvlOverride w:ilvl="5">
      <w:startOverride w:val="1"/>
      <w:lvl w:ilvl="5">
        <w:start w:val="1"/>
        <w:numFmt w:val="none"/>
        <w:pStyle w:val="DefinitionL6"/>
        <w:lvlText w:val=""/>
        <w:lvlJc w:val="left"/>
        <w:pPr>
          <w:ind w:left="2160" w:hanging="360"/>
        </w:pPr>
        <w:rPr>
          <w:rFonts w:hint="default"/>
        </w:rPr>
      </w:lvl>
    </w:lvlOverride>
    <w:lvlOverride w:ilvl="6">
      <w:startOverride w:val="1"/>
      <w:lvl w:ilvl="6">
        <w:start w:val="1"/>
        <w:numFmt w:val="none"/>
        <w:pStyle w:val="DefinitionL7"/>
        <w:lvlText w:val=""/>
        <w:lvlJc w:val="left"/>
        <w:pPr>
          <w:ind w:left="2520" w:hanging="360"/>
        </w:pPr>
        <w:rPr>
          <w:rFonts w:hint="default"/>
        </w:rPr>
      </w:lvl>
    </w:lvlOverride>
    <w:lvlOverride w:ilvl="7">
      <w:startOverride w:val="1"/>
      <w:lvl w:ilvl="7">
        <w:start w:val="1"/>
        <w:numFmt w:val="none"/>
        <w:pStyle w:val="DefinitionL8"/>
        <w:lvlText w:val=""/>
        <w:lvlJc w:val="left"/>
        <w:pPr>
          <w:ind w:left="2880" w:hanging="360"/>
        </w:pPr>
        <w:rPr>
          <w:rFonts w:hint="default"/>
        </w:rPr>
      </w:lvl>
    </w:lvlOverride>
    <w:lvlOverride w:ilvl="8">
      <w:startOverride w:val="1"/>
      <w:lvl w:ilvl="8">
        <w:start w:val="1"/>
        <w:numFmt w:val="none"/>
        <w:pStyle w:val="DefinitionL9"/>
        <w:lvlText w:val=""/>
        <w:lvlJc w:val="left"/>
        <w:pPr>
          <w:ind w:left="3240" w:hanging="360"/>
        </w:pPr>
        <w:rPr>
          <w:rFonts w:hint="default"/>
        </w:rPr>
      </w:lvl>
    </w:lvlOverride>
  </w:num>
  <w:num w:numId="61">
    <w:abstractNumId w:val="36"/>
    <w:lvlOverride w:ilvl="0">
      <w:lvl w:ilvl="0">
        <w:start w:val="1"/>
        <w:numFmt w:val="upperLetter"/>
        <w:pStyle w:val="Level1"/>
        <w:lvlText w:val="%1"/>
        <w:lvlJc w:val="left"/>
        <w:pPr>
          <w:ind w:left="680" w:hanging="680"/>
        </w:pPr>
        <w:rPr>
          <w:rFonts w:ascii="Arial" w:hAnsi="Arial" w:hint="default"/>
          <w:b w:val="0"/>
          <w:i w:val="0"/>
          <w:sz w:val="20"/>
        </w:rPr>
      </w:lvl>
    </w:lvlOverride>
  </w:num>
  <w:num w:numId="62">
    <w:abstractNumId w:val="61"/>
  </w:num>
  <w:num w:numId="6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3"/>
    <w:lvlOverride w:ilvl="0">
      <w:lvl w:ilvl="0">
        <w:start w:val="1"/>
        <w:numFmt w:val="decimal"/>
        <w:pStyle w:val="PartL1"/>
        <w:lvlText w:val="%1."/>
        <w:lvlJc w:val="left"/>
        <w:pPr>
          <w:ind w:left="680" w:hanging="680"/>
        </w:pPr>
        <w:rPr>
          <w:rFonts w:hint="default"/>
        </w:rPr>
      </w:lvl>
    </w:lvlOverride>
  </w:num>
  <w:num w:numId="65">
    <w:abstractNumId w:val="33"/>
    <w:lvlOverride w:ilvl="0">
      <w:lvl w:ilvl="0">
        <w:start w:val="1"/>
        <w:numFmt w:val="decimal"/>
        <w:pStyle w:val="PartL1"/>
        <w:lvlText w:val="%1."/>
        <w:lvlJc w:val="left"/>
        <w:pPr>
          <w:ind w:left="680" w:hanging="680"/>
        </w:pPr>
        <w:rPr>
          <w:rFonts w:hint="default"/>
        </w:rPr>
      </w:lvl>
    </w:lvlOverride>
    <w:lvlOverride w:ilvl="1">
      <w:lvl w:ilvl="1">
        <w:start w:val="1"/>
        <w:numFmt w:val="decimal"/>
        <w:pStyle w:val="PartL2"/>
        <w:lvlText w:val="%1.%2"/>
        <w:lvlJc w:val="left"/>
        <w:pPr>
          <w:ind w:left="680" w:hanging="680"/>
        </w:pPr>
        <w:rPr>
          <w:rFonts w:hint="default"/>
        </w:rPr>
      </w:lvl>
    </w:lvlOverride>
    <w:lvlOverride w:ilvl="2">
      <w:lvl w:ilvl="2">
        <w:start w:val="1"/>
        <w:numFmt w:val="lowerLetter"/>
        <w:pStyle w:val="PartL3"/>
        <w:lvlText w:val="(%3)"/>
        <w:lvlJc w:val="left"/>
        <w:pPr>
          <w:ind w:left="1361" w:hanging="681"/>
        </w:pPr>
        <w:rPr>
          <w:rFonts w:hint="default"/>
          <w:b w:val="0"/>
        </w:rPr>
      </w:lvl>
    </w:lvlOverride>
    <w:lvlOverride w:ilvl="3">
      <w:lvl w:ilvl="3">
        <w:start w:val="1"/>
        <w:numFmt w:val="lowerRoman"/>
        <w:pStyle w:val="PartL4"/>
        <w:lvlText w:val="(%4)"/>
        <w:lvlJc w:val="left"/>
        <w:pPr>
          <w:ind w:left="2041" w:hanging="680"/>
        </w:pPr>
        <w:rPr>
          <w:rFonts w:hint="default"/>
        </w:rPr>
      </w:lvl>
    </w:lvlOverride>
    <w:lvlOverride w:ilvl="4">
      <w:lvl w:ilvl="4">
        <w:start w:val="1"/>
        <w:numFmt w:val="upperLetter"/>
        <w:pStyle w:val="PartL5"/>
        <w:lvlText w:val="(%5)"/>
        <w:lvlJc w:val="left"/>
        <w:pPr>
          <w:tabs>
            <w:tab w:val="num" w:pos="2041"/>
          </w:tabs>
          <w:ind w:left="2722" w:hanging="681"/>
        </w:pPr>
        <w:rPr>
          <w:rFonts w:hint="default"/>
        </w:rPr>
      </w:lvl>
    </w:lvlOverride>
    <w:lvlOverride w:ilvl="5">
      <w:lvl w:ilvl="5">
        <w:start w:val="1"/>
        <w:numFmt w:val="upperRoman"/>
        <w:pStyle w:val="PartL6"/>
        <w:lvlText w:val="(%6)"/>
        <w:lvlJc w:val="left"/>
        <w:pPr>
          <w:tabs>
            <w:tab w:val="num" w:pos="2722"/>
          </w:tabs>
          <w:ind w:left="3402" w:hanging="680"/>
        </w:pPr>
        <w:rPr>
          <w:rFonts w:hint="default"/>
        </w:rPr>
      </w:lvl>
    </w:lvlOverride>
    <w:lvlOverride w:ilvl="6">
      <w:lvl w:ilvl="6">
        <w:start w:val="1"/>
        <w:numFmt w:val="none"/>
        <w:pStyle w:val="PartL7"/>
        <w:lvlText w:val=""/>
        <w:lvlJc w:val="left"/>
        <w:pPr>
          <w:ind w:left="0" w:firstLine="0"/>
        </w:pPr>
        <w:rPr>
          <w:rFonts w:hint="default"/>
        </w:rPr>
      </w:lvl>
    </w:lvlOverride>
    <w:lvlOverride w:ilvl="7">
      <w:lvl w:ilvl="7">
        <w:start w:val="1"/>
        <w:numFmt w:val="none"/>
        <w:pStyle w:val="PartL8"/>
        <w:lvlText w:val=""/>
        <w:lvlJc w:val="left"/>
        <w:pPr>
          <w:ind w:left="0" w:firstLine="0"/>
        </w:pPr>
        <w:rPr>
          <w:rFonts w:hint="default"/>
        </w:rPr>
      </w:lvl>
    </w:lvlOverride>
    <w:lvlOverride w:ilvl="8">
      <w:lvl w:ilvl="8">
        <w:start w:val="1"/>
        <w:numFmt w:val="none"/>
        <w:pStyle w:val="PartL9"/>
        <w:lvlText w:val=""/>
        <w:lvlJc w:val="left"/>
        <w:pPr>
          <w:ind w:left="0" w:firstLine="0"/>
        </w:pPr>
        <w:rPr>
          <w:rFonts w:hint="default"/>
        </w:rPr>
      </w:lvl>
    </w:lvlOverride>
  </w:num>
  <w:num w:numId="66">
    <w:abstractNumId w:val="25"/>
    <w:lvlOverride w:ilvl="0">
      <w:lvl w:ilvl="0">
        <w:start w:val="1"/>
        <w:numFmt w:val="decimal"/>
        <w:pStyle w:val="ScheduleL1"/>
        <w:suff w:val="nothing"/>
        <w:lvlText w:val="Schedule %1"/>
        <w:lvlJc w:val="left"/>
        <w:pPr>
          <w:ind w:left="0" w:firstLine="0"/>
        </w:pPr>
        <w:rPr>
          <w:rFonts w:hint="default"/>
        </w:rPr>
      </w:lvl>
    </w:lvlOverride>
    <w:lvlOverride w:ilvl="1">
      <w:lvl w:ilvl="1">
        <w:start w:val="1"/>
        <w:numFmt w:val="decimal"/>
        <w:pStyle w:val="ScheduleL2"/>
        <w:lvlText w:val="%2."/>
        <w:lvlJc w:val="left"/>
        <w:pPr>
          <w:ind w:left="680" w:hanging="680"/>
        </w:pPr>
        <w:rPr>
          <w:rFonts w:hint="default"/>
        </w:rPr>
      </w:lvl>
    </w:lvlOverride>
    <w:lvlOverride w:ilvl="2">
      <w:lvl w:ilvl="2">
        <w:start w:val="1"/>
        <w:numFmt w:val="decimal"/>
        <w:pStyle w:val="ScheduleL3"/>
        <w:lvlText w:val="%2.%3"/>
        <w:lvlJc w:val="left"/>
        <w:pPr>
          <w:ind w:left="680" w:hanging="68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3">
      <w:lvl w:ilvl="3">
        <w:start w:val="1"/>
        <w:numFmt w:val="lowerLetter"/>
        <w:pStyle w:val="ScheduleL4"/>
        <w:lvlText w:val="(%4)"/>
        <w:lvlJc w:val="left"/>
        <w:pPr>
          <w:ind w:left="1361" w:hanging="681"/>
        </w:pPr>
        <w:rPr>
          <w:rFonts w:hint="default"/>
        </w:rPr>
      </w:lvl>
    </w:lvlOverride>
    <w:lvlOverride w:ilvl="4">
      <w:lvl w:ilvl="4">
        <w:start w:val="1"/>
        <w:numFmt w:val="lowerRoman"/>
        <w:pStyle w:val="ScheduleL5"/>
        <w:lvlText w:val="(%5)"/>
        <w:lvlJc w:val="left"/>
        <w:pPr>
          <w:ind w:left="2041" w:hanging="680"/>
        </w:pPr>
        <w:rPr>
          <w:rFonts w:hint="default"/>
        </w:rPr>
      </w:lvl>
    </w:lvlOverride>
    <w:lvlOverride w:ilvl="5">
      <w:lvl w:ilvl="5">
        <w:start w:val="1"/>
        <w:numFmt w:val="upperLetter"/>
        <w:pStyle w:val="ScheduleL6"/>
        <w:lvlText w:val="(%6)"/>
        <w:lvlJc w:val="left"/>
        <w:pPr>
          <w:ind w:left="2722" w:hanging="681"/>
        </w:pPr>
        <w:rPr>
          <w:rFonts w:hint="default"/>
        </w:rPr>
      </w:lvl>
    </w:lvlOverride>
    <w:lvlOverride w:ilvl="6">
      <w:lvl w:ilvl="6">
        <w:start w:val="1"/>
        <w:numFmt w:val="none"/>
        <w:pStyle w:val="ScheduleL7"/>
        <w:lvlText w:val=""/>
        <w:lvlJc w:val="left"/>
        <w:pPr>
          <w:ind w:left="0" w:firstLine="0"/>
        </w:pPr>
        <w:rPr>
          <w:rFonts w:hint="default"/>
        </w:rPr>
      </w:lvl>
    </w:lvlOverride>
    <w:lvlOverride w:ilvl="7">
      <w:lvl w:ilvl="7">
        <w:start w:val="1"/>
        <w:numFmt w:val="none"/>
        <w:pStyle w:val="ScheduleL8"/>
        <w:lvlText w:val=""/>
        <w:lvlJc w:val="left"/>
        <w:pPr>
          <w:ind w:left="0" w:firstLine="0"/>
        </w:pPr>
        <w:rPr>
          <w:rFonts w:hint="default"/>
        </w:rPr>
      </w:lvl>
    </w:lvlOverride>
    <w:lvlOverride w:ilvl="8">
      <w:lvl w:ilvl="8">
        <w:start w:val="1"/>
        <w:numFmt w:val="none"/>
        <w:pStyle w:val="ScheduleL9"/>
        <w:lvlText w:val=""/>
        <w:lvlJc w:val="left"/>
        <w:pPr>
          <w:ind w:left="0" w:firstLine="0"/>
        </w:pPr>
        <w:rPr>
          <w:rFonts w:hint="default"/>
        </w:rPr>
      </w:lvl>
    </w:lvlOverride>
  </w:num>
  <w:num w:numId="67">
    <w:abstractNumId w:val="32"/>
    <w:lvlOverride w:ilvl="0">
      <w:startOverride w:val="1"/>
      <w:lvl w:ilvl="0">
        <w:start w:val="1"/>
        <w:numFmt w:val="decimal"/>
        <w:pStyle w:val="MELegal1"/>
        <w:lvlText w:val="%1."/>
        <w:lvlJc w:val="left"/>
        <w:pPr>
          <w:ind w:left="680" w:hanging="680"/>
        </w:pPr>
        <w:rPr>
          <w:rFonts w:hint="default"/>
        </w:rPr>
      </w:lvl>
    </w:lvlOverride>
    <w:lvlOverride w:ilvl="1">
      <w:startOverride w:val="1"/>
      <w:lvl w:ilvl="1">
        <w:start w:val="1"/>
        <w:numFmt w:val="decimal"/>
        <w:pStyle w:val="MELegal2"/>
        <w:lvlText w:val="%1.%2"/>
        <w:lvlJc w:val="left"/>
        <w:pPr>
          <w:ind w:left="680" w:hanging="680"/>
        </w:pPr>
        <w:rPr>
          <w:rFonts w:hint="default"/>
        </w:rPr>
      </w:lvl>
    </w:lvlOverride>
    <w:lvlOverride w:ilvl="2">
      <w:startOverride w:val="1"/>
      <w:lvl w:ilvl="2">
        <w:start w:val="1"/>
        <w:numFmt w:val="lowerLetter"/>
        <w:pStyle w:val="MELegal3"/>
        <w:lvlText w:val="(%3)"/>
        <w:lvlJc w:val="left"/>
        <w:pPr>
          <w:ind w:left="1361" w:hanging="681"/>
        </w:pPr>
        <w:rPr>
          <w:rFonts w:hint="default"/>
        </w:rPr>
      </w:lvl>
    </w:lvlOverride>
    <w:lvlOverride w:ilvl="3">
      <w:startOverride w:val="1"/>
      <w:lvl w:ilvl="3">
        <w:start w:val="1"/>
        <w:numFmt w:val="lowerRoman"/>
        <w:pStyle w:val="MELegal4"/>
        <w:lvlText w:val="(%4)"/>
        <w:lvlJc w:val="left"/>
        <w:pPr>
          <w:ind w:left="2041" w:hanging="680"/>
        </w:pPr>
        <w:rPr>
          <w:rFonts w:hint="default"/>
        </w:rPr>
      </w:lvl>
    </w:lvlOverride>
    <w:lvlOverride w:ilvl="4">
      <w:startOverride w:val="1"/>
      <w:lvl w:ilvl="4">
        <w:start w:val="1"/>
        <w:numFmt w:val="upperLetter"/>
        <w:pStyle w:val="MELegal5"/>
        <w:lvlText w:val="(%5)"/>
        <w:lvlJc w:val="left"/>
        <w:pPr>
          <w:tabs>
            <w:tab w:val="num" w:pos="2041"/>
          </w:tabs>
          <w:ind w:left="2722" w:hanging="681"/>
        </w:pPr>
        <w:rPr>
          <w:rFonts w:hint="default"/>
        </w:rPr>
      </w:lvl>
    </w:lvlOverride>
    <w:lvlOverride w:ilvl="5">
      <w:startOverride w:val="1"/>
      <w:lvl w:ilvl="5">
        <w:start w:val="1"/>
        <w:numFmt w:val="upperRoman"/>
        <w:pStyle w:val="MELegal6"/>
        <w:lvlText w:val="(%6)"/>
        <w:lvlJc w:val="left"/>
        <w:pPr>
          <w:tabs>
            <w:tab w:val="num" w:pos="2722"/>
          </w:tabs>
          <w:ind w:left="3402" w:hanging="680"/>
        </w:pPr>
        <w:rPr>
          <w:rFonts w:hint="default"/>
        </w:rPr>
      </w:lvl>
    </w:lvlOverride>
    <w:lvlOverride w:ilvl="6">
      <w:startOverride w:val="1"/>
      <w:lvl w:ilvl="6">
        <w:start w:val="1"/>
        <w:numFmt w:val="none"/>
        <w:pStyle w:val="MELegal7"/>
        <w:lvlText w:val=""/>
        <w:lvlJc w:val="left"/>
        <w:pPr>
          <w:ind w:left="0" w:firstLine="0"/>
        </w:pPr>
        <w:rPr>
          <w:rFonts w:hint="default"/>
        </w:rPr>
      </w:lvl>
    </w:lvlOverride>
    <w:lvlOverride w:ilvl="7">
      <w:startOverride w:val="1"/>
      <w:lvl w:ilvl="7">
        <w:start w:val="1"/>
        <w:numFmt w:val="none"/>
        <w:pStyle w:val="MELegal8"/>
        <w:lvlText w:val=""/>
        <w:lvlJc w:val="left"/>
        <w:pPr>
          <w:ind w:left="0" w:firstLine="0"/>
        </w:pPr>
        <w:rPr>
          <w:rFonts w:hint="default"/>
        </w:rPr>
      </w:lvl>
    </w:lvlOverride>
    <w:lvlOverride w:ilvl="8">
      <w:startOverride w:val="1"/>
      <w:lvl w:ilvl="8">
        <w:start w:val="1"/>
        <w:numFmt w:val="none"/>
        <w:pStyle w:val="MELegal9"/>
        <w:lvlText w:val=""/>
        <w:lvlJc w:val="left"/>
        <w:pPr>
          <w:ind w:left="0" w:firstLine="0"/>
        </w:pPr>
        <w:rPr>
          <w:rFonts w:hint="default"/>
        </w:rPr>
      </w:lvl>
    </w:lvlOverride>
  </w:num>
  <w:num w:numId="68">
    <w:abstractNumId w:val="35"/>
  </w:num>
  <w:num w:numId="69">
    <w:abstractNumId w:val="40"/>
  </w:num>
  <w:num w:numId="70">
    <w:abstractNumId w:val="32"/>
    <w:lvlOverride w:ilvl="0">
      <w:lvl w:ilvl="0">
        <w:start w:val="1"/>
        <w:numFmt w:val="decimal"/>
        <w:pStyle w:val="MELegal1"/>
        <w:lvlText w:val="%1."/>
        <w:lvlJc w:val="left"/>
        <w:pPr>
          <w:ind w:left="680" w:hanging="680"/>
        </w:pPr>
        <w:rPr>
          <w:rFonts w:hint="default"/>
        </w:rPr>
      </w:lvl>
    </w:lvlOverride>
    <w:lvlOverride w:ilvl="1">
      <w:lvl w:ilvl="1">
        <w:start w:val="1"/>
        <w:numFmt w:val="decimal"/>
        <w:pStyle w:val="MELegal2"/>
        <w:lvlText w:val="%1.%2"/>
        <w:lvlJc w:val="left"/>
        <w:pPr>
          <w:ind w:left="680" w:hanging="680"/>
        </w:pPr>
        <w:rPr>
          <w:rFonts w:hint="default"/>
        </w:rPr>
      </w:lvl>
    </w:lvlOverride>
    <w:lvlOverride w:ilvl="2">
      <w:lvl w:ilvl="2">
        <w:start w:val="1"/>
        <w:numFmt w:val="lowerLetter"/>
        <w:pStyle w:val="MELegal3"/>
        <w:lvlText w:val="(%3)"/>
        <w:lvlJc w:val="left"/>
        <w:pPr>
          <w:ind w:left="1361" w:hanging="681"/>
        </w:pPr>
        <w:rPr>
          <w:rFonts w:hint="default"/>
        </w:rPr>
      </w:lvl>
    </w:lvlOverride>
    <w:lvlOverride w:ilvl="3">
      <w:lvl w:ilvl="3">
        <w:start w:val="1"/>
        <w:numFmt w:val="lowerRoman"/>
        <w:pStyle w:val="MELegal4"/>
        <w:lvlText w:val="(%4)"/>
        <w:lvlJc w:val="left"/>
        <w:pPr>
          <w:ind w:left="2041" w:hanging="680"/>
        </w:pPr>
        <w:rPr>
          <w:rFonts w:hint="default"/>
        </w:rPr>
      </w:lvl>
    </w:lvlOverride>
    <w:lvlOverride w:ilvl="4">
      <w:lvl w:ilvl="4">
        <w:start w:val="1"/>
        <w:numFmt w:val="upperLetter"/>
        <w:pStyle w:val="MELegal5"/>
        <w:lvlText w:val="(%5)"/>
        <w:lvlJc w:val="left"/>
        <w:pPr>
          <w:tabs>
            <w:tab w:val="num" w:pos="2041"/>
          </w:tabs>
          <w:ind w:left="2722" w:hanging="681"/>
        </w:pPr>
        <w:rPr>
          <w:rFonts w:hint="default"/>
        </w:rPr>
      </w:lvl>
    </w:lvlOverride>
    <w:lvlOverride w:ilvl="5">
      <w:lvl w:ilvl="5">
        <w:start w:val="1"/>
        <w:numFmt w:val="upperRoman"/>
        <w:pStyle w:val="MELegal6"/>
        <w:lvlText w:val="(%6)"/>
        <w:lvlJc w:val="left"/>
        <w:pPr>
          <w:tabs>
            <w:tab w:val="num" w:pos="2722"/>
          </w:tabs>
          <w:ind w:left="3402" w:hanging="680"/>
        </w:pPr>
        <w:rPr>
          <w:rFonts w:hint="default"/>
        </w:rPr>
      </w:lvl>
    </w:lvlOverride>
    <w:lvlOverride w:ilvl="6">
      <w:lvl w:ilvl="6">
        <w:start w:val="1"/>
        <w:numFmt w:val="none"/>
        <w:pStyle w:val="MELegal7"/>
        <w:lvlText w:val=""/>
        <w:lvlJc w:val="left"/>
        <w:pPr>
          <w:ind w:left="0" w:firstLine="0"/>
        </w:pPr>
        <w:rPr>
          <w:rFonts w:hint="default"/>
        </w:rPr>
      </w:lvl>
    </w:lvlOverride>
    <w:lvlOverride w:ilvl="7">
      <w:lvl w:ilvl="7">
        <w:start w:val="1"/>
        <w:numFmt w:val="none"/>
        <w:pStyle w:val="MELegal8"/>
        <w:lvlText w:val=""/>
        <w:lvlJc w:val="left"/>
        <w:pPr>
          <w:ind w:left="0" w:firstLine="0"/>
        </w:pPr>
        <w:rPr>
          <w:rFonts w:hint="default"/>
        </w:rPr>
      </w:lvl>
    </w:lvlOverride>
    <w:lvlOverride w:ilvl="8">
      <w:lvl w:ilvl="8">
        <w:start w:val="1"/>
        <w:numFmt w:val="none"/>
        <w:pStyle w:val="MELegal9"/>
        <w:lvlText w:val=""/>
        <w:lvlJc w:val="left"/>
        <w:pPr>
          <w:ind w:left="0" w:firstLine="0"/>
        </w:pPr>
        <w:rPr>
          <w:rFonts w:hint="default"/>
        </w:rPr>
      </w:lvl>
    </w:lvlOverride>
  </w:num>
  <w:num w:numId="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5"/>
    <w:lvlOverride w:ilvl="0">
      <w:startOverride w:val="1"/>
      <w:lvl w:ilvl="0">
        <w:start w:val="1"/>
        <w:numFmt w:val="decimal"/>
        <w:pStyle w:val="ScheduleL1"/>
        <w:suff w:val="nothing"/>
        <w:lvlText w:val="Schedule %1"/>
        <w:lvlJc w:val="left"/>
        <w:pPr>
          <w:ind w:left="0" w:firstLine="0"/>
        </w:pPr>
        <w:rPr>
          <w:rFonts w:hint="default"/>
        </w:rPr>
      </w:lvl>
    </w:lvlOverride>
    <w:lvlOverride w:ilvl="1">
      <w:startOverride w:val="1"/>
      <w:lvl w:ilvl="1">
        <w:start w:val="1"/>
        <w:numFmt w:val="decimal"/>
        <w:pStyle w:val="ScheduleL2"/>
        <w:lvlText w:val="%2."/>
        <w:lvlJc w:val="left"/>
        <w:pPr>
          <w:ind w:left="680" w:hanging="680"/>
        </w:pPr>
        <w:rPr>
          <w:rFonts w:hint="default"/>
        </w:rPr>
      </w:lvl>
    </w:lvlOverride>
    <w:lvlOverride w:ilvl="2">
      <w:startOverride w:val="1"/>
      <w:lvl w:ilvl="2">
        <w:start w:val="1"/>
        <w:numFmt w:val="decimal"/>
        <w:pStyle w:val="ScheduleL3"/>
        <w:lvlText w:val="%2.%3"/>
        <w:lvlJc w:val="left"/>
        <w:pPr>
          <w:ind w:left="680" w:hanging="680"/>
        </w:pPr>
      </w:lvl>
    </w:lvlOverride>
    <w:lvlOverride w:ilvl="3">
      <w:startOverride w:val="1"/>
      <w:lvl w:ilvl="3">
        <w:start w:val="1"/>
        <w:numFmt w:val="lowerLetter"/>
        <w:pStyle w:val="ScheduleL4"/>
        <w:lvlText w:val="(%4)"/>
        <w:lvlJc w:val="left"/>
        <w:pPr>
          <w:ind w:left="1361" w:hanging="681"/>
        </w:pPr>
        <w:rPr>
          <w:rFonts w:hint="default"/>
        </w:rPr>
      </w:lvl>
    </w:lvlOverride>
    <w:lvlOverride w:ilvl="4">
      <w:startOverride w:val="1"/>
      <w:lvl w:ilvl="4">
        <w:start w:val="1"/>
        <w:numFmt w:val="lowerRoman"/>
        <w:pStyle w:val="ScheduleL5"/>
        <w:lvlText w:val="(%5)"/>
        <w:lvlJc w:val="left"/>
        <w:pPr>
          <w:ind w:left="2041" w:hanging="680"/>
        </w:pPr>
        <w:rPr>
          <w:rFonts w:hint="default"/>
        </w:rPr>
      </w:lvl>
    </w:lvlOverride>
    <w:lvlOverride w:ilvl="5">
      <w:startOverride w:val="1"/>
      <w:lvl w:ilvl="5">
        <w:start w:val="1"/>
        <w:numFmt w:val="upperLetter"/>
        <w:pStyle w:val="ScheduleL6"/>
        <w:lvlText w:val="(%6)"/>
        <w:lvlJc w:val="left"/>
        <w:pPr>
          <w:ind w:left="2722" w:hanging="681"/>
        </w:pPr>
        <w:rPr>
          <w:rFonts w:hint="default"/>
        </w:rPr>
      </w:lvl>
    </w:lvlOverride>
    <w:lvlOverride w:ilvl="6">
      <w:startOverride w:val="1"/>
      <w:lvl w:ilvl="6">
        <w:start w:val="1"/>
        <w:numFmt w:val="none"/>
        <w:pStyle w:val="ScheduleL7"/>
        <w:lvlText w:val=""/>
        <w:lvlJc w:val="left"/>
        <w:pPr>
          <w:ind w:left="0" w:firstLine="0"/>
        </w:pPr>
        <w:rPr>
          <w:rFonts w:hint="default"/>
        </w:rPr>
      </w:lvl>
    </w:lvlOverride>
    <w:lvlOverride w:ilvl="7">
      <w:startOverride w:val="1"/>
      <w:lvl w:ilvl="7">
        <w:start w:val="1"/>
        <w:numFmt w:val="none"/>
        <w:pStyle w:val="ScheduleL8"/>
        <w:lvlText w:val=""/>
        <w:lvlJc w:val="left"/>
        <w:pPr>
          <w:ind w:left="0" w:firstLine="0"/>
        </w:pPr>
        <w:rPr>
          <w:rFonts w:hint="default"/>
        </w:rPr>
      </w:lvl>
    </w:lvlOverride>
    <w:lvlOverride w:ilvl="8">
      <w:startOverride w:val="1"/>
      <w:lvl w:ilvl="8">
        <w:start w:val="1"/>
        <w:numFmt w:val="none"/>
        <w:pStyle w:val="ScheduleL9"/>
        <w:lvlText w:val=""/>
        <w:lvlJc w:val="left"/>
        <w:pPr>
          <w:ind w:left="0" w:firstLine="0"/>
        </w:pPr>
        <w:rPr>
          <w:rFonts w:hint="default"/>
        </w:rPr>
      </w:lvl>
    </w:lvlOverride>
  </w:num>
  <w:num w:numId="73">
    <w:abstractNumId w:val="59"/>
  </w:num>
  <w:num w:numId="74">
    <w:abstractNumId w:val="56"/>
  </w:num>
  <w:num w:numId="75">
    <w:abstractNumId w:val="41"/>
  </w:num>
  <w:num w:numId="76">
    <w:abstractNumId w:val="18"/>
  </w:num>
  <w:num w:numId="77">
    <w:abstractNumId w:val="21"/>
  </w:num>
  <w:num w:numId="78">
    <w:abstractNumId w:val="31"/>
  </w:num>
  <w:num w:numId="79">
    <w:abstractNumId w:val="34"/>
  </w:num>
  <w:num w:numId="80">
    <w:abstractNumId w:val="12"/>
  </w:num>
  <w:num w:numId="81">
    <w:abstractNumId w:val="63"/>
  </w:num>
  <w:num w:numId="82">
    <w:abstractNumId w:val="58"/>
  </w:num>
  <w:num w:numId="83">
    <w:abstractNumId w:val="46"/>
  </w:num>
  <w:num w:numId="84">
    <w:abstractNumId w:val="13"/>
  </w:num>
  <w:num w:numId="85">
    <w:abstractNumId w:val="16"/>
  </w:num>
  <w:num w:numId="86">
    <w:abstractNumId w:val="19"/>
  </w:num>
  <w:num w:numId="87">
    <w:abstractNumId w:val="52"/>
  </w:num>
  <w:num w:numId="88">
    <w:abstractNumId w:val="60"/>
  </w:num>
  <w:num w:numId="89">
    <w:abstractNumId w:val="10"/>
  </w:num>
  <w:num w:numId="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8"/>
  </w:num>
  <w:num w:numId="9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4"/>
  </w:num>
  <w:num w:numId="94">
    <w:abstractNumId w:val="25"/>
  </w:num>
  <w:num w:numId="95">
    <w:abstractNumId w:val="25"/>
  </w:num>
  <w:num w:numId="96">
    <w:abstractNumId w:val="24"/>
  </w:num>
  <w:num w:numId="97">
    <w:abstractNumId w:val="55"/>
  </w:num>
  <w:num w:numId="9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680"/>
  <w:drawingGridHorizontalSpacing w:val="110"/>
  <w:displayHorizontalDrawingGridEvery w:val="0"/>
  <w:displayVerticalDrawingGridEvery w:val="0"/>
  <w:doNotShadeFormData/>
  <w:noPunctuationKerning/>
  <w:characterSpacingControl w:val="doNotCompress"/>
  <w:hdrShapeDefaults>
    <o:shapedefaults v:ext="edit" spidmax="26625">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D5D"/>
    <w:rsid w:val="001B3D5D"/>
    <w:rsid w:val="004D550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hapeDefaults>
    <o:shapedefaults v:ext="edit" spidmax="26625">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uiPriority="2"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6"/>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2"/>
    <w:qFormat/>
    <w:pPr>
      <w:spacing w:after="140" w:line="280" w:lineRule="atLeast"/>
    </w:pPr>
    <w:rPr>
      <w:rFonts w:cs="Angsana New"/>
      <w:sz w:val="22"/>
      <w:szCs w:val="22"/>
      <w:lang w:eastAsia="zh-CN" w:bidi="th-TH"/>
    </w:rPr>
  </w:style>
  <w:style w:type="paragraph" w:styleId="Heading1">
    <w:name w:val="heading 1"/>
    <w:basedOn w:val="Normal"/>
    <w:next w:val="Normal"/>
    <w:semiHidden/>
    <w:qFormat/>
    <w:pPr>
      <w:keepNext/>
      <w:numPr>
        <w:numId w:val="85"/>
      </w:numPr>
      <w:spacing w:before="240" w:after="60"/>
      <w:outlineLvl w:val="0"/>
    </w:pPr>
    <w:rPr>
      <w:rFonts w:ascii="Arial" w:hAnsi="Arial"/>
      <w:b/>
      <w:bCs/>
      <w:kern w:val="28"/>
      <w:sz w:val="28"/>
      <w:szCs w:val="28"/>
    </w:rPr>
  </w:style>
  <w:style w:type="paragraph" w:styleId="Heading2">
    <w:name w:val="heading 2"/>
    <w:basedOn w:val="Normal"/>
    <w:next w:val="Normal"/>
    <w:semiHidden/>
    <w:qFormat/>
    <w:pPr>
      <w:keepNext/>
      <w:numPr>
        <w:ilvl w:val="1"/>
        <w:numId w:val="85"/>
      </w:numPr>
      <w:spacing w:before="240" w:after="60"/>
      <w:outlineLvl w:val="1"/>
    </w:pPr>
    <w:rPr>
      <w:rFonts w:ascii="Arial" w:hAnsi="Arial"/>
      <w:b/>
      <w:bCs/>
      <w:i/>
      <w:iCs/>
    </w:rPr>
  </w:style>
  <w:style w:type="paragraph" w:styleId="Heading3">
    <w:name w:val="heading 3"/>
    <w:basedOn w:val="Normal"/>
    <w:next w:val="Normal"/>
    <w:semiHidden/>
    <w:qFormat/>
    <w:pPr>
      <w:keepNext/>
      <w:numPr>
        <w:ilvl w:val="2"/>
        <w:numId w:val="85"/>
      </w:numPr>
      <w:spacing w:before="240" w:after="60"/>
      <w:outlineLvl w:val="2"/>
    </w:pPr>
    <w:rPr>
      <w:rFonts w:ascii="Arial" w:hAnsi="Arial"/>
    </w:rPr>
  </w:style>
  <w:style w:type="paragraph" w:styleId="Heading4">
    <w:name w:val="heading 4"/>
    <w:basedOn w:val="Normal"/>
    <w:next w:val="Normal"/>
    <w:semiHidden/>
    <w:qFormat/>
    <w:pPr>
      <w:keepNext/>
      <w:numPr>
        <w:ilvl w:val="3"/>
        <w:numId w:val="85"/>
      </w:numPr>
      <w:spacing w:before="240" w:after="60"/>
      <w:outlineLvl w:val="3"/>
    </w:pPr>
    <w:rPr>
      <w:rFonts w:ascii="Arial" w:hAnsi="Arial"/>
      <w:b/>
      <w:bCs/>
    </w:rPr>
  </w:style>
  <w:style w:type="paragraph" w:styleId="Heading5">
    <w:name w:val="heading 5"/>
    <w:basedOn w:val="Normal"/>
    <w:next w:val="Normal"/>
    <w:semiHidden/>
    <w:qFormat/>
    <w:pPr>
      <w:numPr>
        <w:ilvl w:val="4"/>
        <w:numId w:val="85"/>
      </w:numPr>
      <w:spacing w:before="240" w:after="60"/>
      <w:outlineLvl w:val="4"/>
    </w:pPr>
  </w:style>
  <w:style w:type="paragraph" w:styleId="Heading6">
    <w:name w:val="heading 6"/>
    <w:basedOn w:val="Normal"/>
    <w:next w:val="Normal"/>
    <w:semiHidden/>
    <w:qFormat/>
    <w:pPr>
      <w:numPr>
        <w:ilvl w:val="5"/>
        <w:numId w:val="85"/>
      </w:numPr>
      <w:spacing w:before="240" w:after="60"/>
      <w:outlineLvl w:val="5"/>
    </w:pPr>
    <w:rPr>
      <w:i/>
      <w:iCs/>
    </w:rPr>
  </w:style>
  <w:style w:type="paragraph" w:styleId="Heading7">
    <w:name w:val="heading 7"/>
    <w:basedOn w:val="Normal"/>
    <w:next w:val="Normal"/>
    <w:semiHidden/>
    <w:qFormat/>
    <w:pPr>
      <w:numPr>
        <w:ilvl w:val="6"/>
        <w:numId w:val="85"/>
      </w:numPr>
      <w:spacing w:before="240" w:after="60"/>
      <w:outlineLvl w:val="6"/>
    </w:pPr>
    <w:rPr>
      <w:rFonts w:ascii="Arial" w:hAnsi="Arial"/>
      <w:sz w:val="20"/>
      <w:szCs w:val="20"/>
    </w:rPr>
  </w:style>
  <w:style w:type="paragraph" w:styleId="Heading8">
    <w:name w:val="heading 8"/>
    <w:basedOn w:val="Normal"/>
    <w:next w:val="Normal"/>
    <w:semiHidden/>
    <w:qFormat/>
    <w:pPr>
      <w:numPr>
        <w:ilvl w:val="7"/>
        <w:numId w:val="85"/>
      </w:numPr>
      <w:spacing w:before="240" w:after="60"/>
      <w:outlineLvl w:val="7"/>
    </w:pPr>
    <w:rPr>
      <w:rFonts w:ascii="Arial" w:hAnsi="Arial"/>
      <w:i/>
      <w:iCs/>
      <w:sz w:val="20"/>
      <w:szCs w:val="20"/>
    </w:rPr>
  </w:style>
  <w:style w:type="paragraph" w:styleId="Heading9">
    <w:name w:val="heading 9"/>
    <w:basedOn w:val="Normal"/>
    <w:next w:val="Normal"/>
    <w:semiHidden/>
    <w:qFormat/>
    <w:pPr>
      <w:numPr>
        <w:ilvl w:val="8"/>
        <w:numId w:val="85"/>
      </w:numPr>
      <w:spacing w:before="240" w:after="60"/>
      <w:outlineLvl w:val="8"/>
    </w:pPr>
    <w:rPr>
      <w:rFonts w:ascii="Arial" w:hAnsi="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6"/>
    <w:pPr>
      <w:spacing w:before="60" w:after="0" w:line="240" w:lineRule="auto"/>
    </w:pPr>
    <w:rPr>
      <w:rFonts w:ascii="Arial" w:hAnsi="Arial"/>
      <w:sz w:val="15"/>
      <w:szCs w:val="15"/>
    </w:rPr>
  </w:style>
  <w:style w:type="paragraph" w:customStyle="1" w:styleId="MELegal1">
    <w:name w:val="ME Legal 1"/>
    <w:basedOn w:val="Normal"/>
    <w:next w:val="Normal"/>
    <w:qFormat/>
    <w:pPr>
      <w:keepNext/>
      <w:numPr>
        <w:numId w:val="35"/>
      </w:numPr>
      <w:spacing w:before="280"/>
      <w:outlineLvl w:val="0"/>
    </w:pPr>
    <w:rPr>
      <w:rFonts w:ascii="Arial" w:hAnsi="Arial"/>
      <w:spacing w:val="-10"/>
      <w:w w:val="95"/>
      <w:sz w:val="32"/>
    </w:rPr>
  </w:style>
  <w:style w:type="paragraph" w:customStyle="1" w:styleId="MELegal2">
    <w:name w:val="ME Legal 2"/>
    <w:basedOn w:val="Normal"/>
    <w:next w:val="Normal"/>
    <w:link w:val="MELegal2Char"/>
    <w:qFormat/>
    <w:pPr>
      <w:keepNext/>
      <w:numPr>
        <w:ilvl w:val="1"/>
        <w:numId w:val="35"/>
      </w:numPr>
      <w:spacing w:before="60" w:after="60"/>
      <w:outlineLvl w:val="1"/>
    </w:pPr>
    <w:rPr>
      <w:rFonts w:ascii="Arial Bold" w:hAnsi="Arial Bold"/>
      <w:b/>
      <w:w w:val="95"/>
      <w:sz w:val="24"/>
    </w:rPr>
  </w:style>
  <w:style w:type="paragraph" w:customStyle="1" w:styleId="MELegal3">
    <w:name w:val="ME Legal 3"/>
    <w:basedOn w:val="Normal"/>
    <w:link w:val="MELegal3Char"/>
    <w:qFormat/>
    <w:pPr>
      <w:numPr>
        <w:ilvl w:val="2"/>
        <w:numId w:val="35"/>
      </w:numPr>
      <w:outlineLvl w:val="2"/>
    </w:pPr>
  </w:style>
  <w:style w:type="paragraph" w:customStyle="1" w:styleId="MELegal4">
    <w:name w:val="ME Legal 4"/>
    <w:basedOn w:val="Normal"/>
    <w:link w:val="MELegal4Char"/>
    <w:qFormat/>
    <w:pPr>
      <w:numPr>
        <w:ilvl w:val="3"/>
        <w:numId w:val="35"/>
      </w:numPr>
      <w:outlineLvl w:val="3"/>
    </w:pPr>
  </w:style>
  <w:style w:type="paragraph" w:customStyle="1" w:styleId="MELegal5">
    <w:name w:val="ME Legal 5"/>
    <w:basedOn w:val="Normal"/>
    <w:qFormat/>
    <w:pPr>
      <w:numPr>
        <w:ilvl w:val="4"/>
        <w:numId w:val="35"/>
      </w:numPr>
      <w:outlineLvl w:val="4"/>
    </w:pPr>
  </w:style>
  <w:style w:type="paragraph" w:customStyle="1" w:styleId="MELegal6">
    <w:name w:val="ME Legal 6"/>
    <w:basedOn w:val="Normal"/>
    <w:qFormat/>
    <w:pPr>
      <w:numPr>
        <w:ilvl w:val="5"/>
        <w:numId w:val="35"/>
      </w:numPr>
      <w:outlineLvl w:val="5"/>
    </w:pPr>
  </w:style>
  <w:style w:type="paragraph" w:styleId="TOC1">
    <w:name w:val="toc 1"/>
    <w:basedOn w:val="Normal"/>
    <w:uiPriority w:val="39"/>
    <w:pPr>
      <w:tabs>
        <w:tab w:val="right" w:pos="9072"/>
      </w:tabs>
      <w:spacing w:before="280" w:after="0"/>
      <w:ind w:right="567"/>
      <w:outlineLvl w:val="0"/>
    </w:pPr>
    <w:rPr>
      <w:rFonts w:ascii="Arial" w:hAnsi="Arial"/>
      <w:b/>
      <w:bCs/>
      <w:w w:val="95"/>
      <w:sz w:val="28"/>
      <w:szCs w:val="28"/>
    </w:rPr>
  </w:style>
  <w:style w:type="paragraph" w:customStyle="1" w:styleId="ItemL3">
    <w:name w:val="Item L3"/>
    <w:basedOn w:val="Normal"/>
    <w:uiPriority w:val="3"/>
    <w:qFormat/>
    <w:pPr>
      <w:numPr>
        <w:ilvl w:val="2"/>
        <w:numId w:val="91"/>
      </w:numPr>
      <w:spacing w:before="60" w:after="60"/>
      <w:outlineLvl w:val="2"/>
    </w:pPr>
  </w:style>
  <w:style w:type="paragraph" w:customStyle="1" w:styleId="ItemL4">
    <w:name w:val="Item L4"/>
    <w:basedOn w:val="Normal"/>
    <w:uiPriority w:val="3"/>
    <w:qFormat/>
    <w:pPr>
      <w:numPr>
        <w:ilvl w:val="3"/>
        <w:numId w:val="91"/>
      </w:numPr>
      <w:spacing w:before="60" w:after="60"/>
    </w:pPr>
  </w:style>
  <w:style w:type="paragraph" w:styleId="Footer">
    <w:name w:val="footer"/>
    <w:basedOn w:val="Normal"/>
    <w:pPr>
      <w:tabs>
        <w:tab w:val="right" w:pos="9356"/>
      </w:tabs>
      <w:spacing w:after="0" w:line="240" w:lineRule="auto"/>
    </w:pPr>
    <w:rPr>
      <w:rFonts w:ascii="Arial" w:hAnsi="Arial"/>
      <w:sz w:val="14"/>
      <w:szCs w:val="14"/>
    </w:rPr>
  </w:style>
  <w:style w:type="character" w:styleId="PageNumber">
    <w:name w:val="page number"/>
    <w:basedOn w:val="DefaultParagraphFont"/>
    <w:semiHidden/>
  </w:style>
  <w:style w:type="paragraph" w:customStyle="1" w:styleId="ItemL1">
    <w:name w:val="Item L1"/>
    <w:basedOn w:val="Normal"/>
    <w:uiPriority w:val="3"/>
    <w:qFormat/>
    <w:pPr>
      <w:numPr>
        <w:numId w:val="91"/>
      </w:numPr>
      <w:spacing w:before="60" w:after="60"/>
      <w:outlineLvl w:val="0"/>
    </w:pPr>
    <w:rPr>
      <w:rFonts w:ascii="Arial" w:hAnsi="Arial"/>
      <w:b/>
      <w:sz w:val="20"/>
    </w:rPr>
  </w:style>
  <w:style w:type="paragraph" w:customStyle="1" w:styleId="ScheduleL1">
    <w:name w:val="Schedule L1"/>
    <w:basedOn w:val="Normal"/>
    <w:next w:val="Normal"/>
    <w:uiPriority w:val="3"/>
    <w:qFormat/>
    <w:pPr>
      <w:numPr>
        <w:numId w:val="94"/>
      </w:numPr>
      <w:pBdr>
        <w:bottom w:val="single" w:sz="4" w:space="1" w:color="auto"/>
      </w:pBdr>
      <w:spacing w:before="140" w:after="480" w:line="480" w:lineRule="exact"/>
      <w:outlineLvl w:val="0"/>
    </w:pPr>
    <w:rPr>
      <w:rFonts w:ascii="Arial" w:hAnsi="Arial"/>
      <w:spacing w:val="-10"/>
      <w:w w:val="95"/>
      <w:sz w:val="48"/>
    </w:rPr>
  </w:style>
  <w:style w:type="paragraph" w:customStyle="1" w:styleId="ScheduleL2">
    <w:name w:val="Schedule L2"/>
    <w:basedOn w:val="Normal"/>
    <w:next w:val="Normal"/>
    <w:uiPriority w:val="3"/>
    <w:qFormat/>
    <w:pPr>
      <w:keepNext/>
      <w:numPr>
        <w:ilvl w:val="1"/>
        <w:numId w:val="94"/>
      </w:numPr>
      <w:spacing w:before="280"/>
      <w:outlineLvl w:val="1"/>
    </w:pPr>
    <w:rPr>
      <w:rFonts w:ascii="Arial" w:hAnsi="Arial"/>
      <w:spacing w:val="-10"/>
      <w:w w:val="95"/>
      <w:sz w:val="32"/>
    </w:rPr>
  </w:style>
  <w:style w:type="paragraph" w:customStyle="1" w:styleId="ScheduleL3">
    <w:name w:val="Schedule L3"/>
    <w:basedOn w:val="Normal"/>
    <w:next w:val="Normal"/>
    <w:uiPriority w:val="3"/>
    <w:qFormat/>
    <w:pPr>
      <w:keepNext/>
      <w:numPr>
        <w:ilvl w:val="2"/>
        <w:numId w:val="94"/>
      </w:numPr>
      <w:spacing w:before="60" w:after="60"/>
      <w:outlineLvl w:val="2"/>
    </w:pPr>
    <w:rPr>
      <w:rFonts w:ascii="Arial Bold" w:hAnsi="Arial Bold"/>
      <w:b/>
      <w:w w:val="95"/>
      <w:sz w:val="24"/>
    </w:rPr>
  </w:style>
  <w:style w:type="paragraph" w:customStyle="1" w:styleId="ScheduleL4">
    <w:name w:val="Schedule L4"/>
    <w:basedOn w:val="Normal"/>
    <w:uiPriority w:val="3"/>
    <w:qFormat/>
    <w:pPr>
      <w:numPr>
        <w:ilvl w:val="3"/>
        <w:numId w:val="94"/>
      </w:numPr>
      <w:outlineLvl w:val="3"/>
    </w:pPr>
  </w:style>
  <w:style w:type="paragraph" w:customStyle="1" w:styleId="ScheduleL5">
    <w:name w:val="Schedule L5"/>
    <w:basedOn w:val="Normal"/>
    <w:uiPriority w:val="3"/>
    <w:qFormat/>
    <w:pPr>
      <w:numPr>
        <w:ilvl w:val="4"/>
        <w:numId w:val="94"/>
      </w:numPr>
      <w:outlineLvl w:val="4"/>
    </w:pPr>
  </w:style>
  <w:style w:type="paragraph" w:customStyle="1" w:styleId="ScheduleL6">
    <w:name w:val="Schedule L6"/>
    <w:basedOn w:val="Normal"/>
    <w:uiPriority w:val="3"/>
    <w:qFormat/>
    <w:pPr>
      <w:numPr>
        <w:ilvl w:val="5"/>
        <w:numId w:val="94"/>
      </w:numPr>
      <w:outlineLvl w:val="5"/>
    </w:pPr>
  </w:style>
  <w:style w:type="paragraph" w:customStyle="1" w:styleId="MESubheading">
    <w:name w:val="ME Sub heading"/>
    <w:basedOn w:val="Normal"/>
    <w:next w:val="Normal"/>
    <w:uiPriority w:val="4"/>
    <w:qFormat/>
    <w:pPr>
      <w:keepNext/>
      <w:keepLines/>
      <w:spacing w:before="200" w:after="200" w:line="400" w:lineRule="exact"/>
    </w:pPr>
    <w:rPr>
      <w:rFonts w:ascii="Arial" w:hAnsi="Arial"/>
      <w:spacing w:val="-10"/>
      <w:w w:val="95"/>
      <w:sz w:val="40"/>
      <w:szCs w:val="40"/>
    </w:rPr>
  </w:style>
  <w:style w:type="paragraph" w:customStyle="1" w:styleId="ContentsDetails">
    <w:name w:val="ContentsDetails"/>
    <w:basedOn w:val="Normal"/>
    <w:next w:val="ContentsTitle"/>
    <w:uiPriority w:val="5"/>
    <w:qFormat/>
    <w:pPr>
      <w:spacing w:after="480" w:line="480" w:lineRule="exact"/>
    </w:pPr>
    <w:rPr>
      <w:rFonts w:ascii="Arial" w:hAnsi="Arial"/>
      <w:spacing w:val="-10"/>
      <w:w w:val="95"/>
      <w:sz w:val="36"/>
      <w:szCs w:val="36"/>
    </w:rPr>
  </w:style>
  <w:style w:type="paragraph" w:customStyle="1" w:styleId="ContentsTitle">
    <w:name w:val="ContentsTitle"/>
    <w:basedOn w:val="Normal"/>
    <w:uiPriority w:val="5"/>
    <w:qFormat/>
    <w:pPr>
      <w:spacing w:after="0" w:line="480" w:lineRule="exact"/>
    </w:pPr>
    <w:rPr>
      <w:rFonts w:ascii="Arial" w:hAnsi="Arial"/>
      <w:spacing w:val="-10"/>
      <w:w w:val="95"/>
      <w:sz w:val="48"/>
      <w:szCs w:val="48"/>
    </w:rPr>
  </w:style>
  <w:style w:type="paragraph" w:customStyle="1" w:styleId="CoverPageDetails">
    <w:name w:val="CoverPageDetails"/>
    <w:basedOn w:val="Normal"/>
    <w:uiPriority w:val="5"/>
    <w:qFormat/>
    <w:pPr>
      <w:spacing w:after="240" w:line="480" w:lineRule="exact"/>
    </w:pPr>
    <w:rPr>
      <w:rFonts w:ascii="Arial" w:hAnsi="Arial"/>
      <w:spacing w:val="-10"/>
      <w:w w:val="95"/>
      <w:sz w:val="40"/>
      <w:szCs w:val="40"/>
    </w:rPr>
  </w:style>
  <w:style w:type="paragraph" w:customStyle="1" w:styleId="CoverPageNames">
    <w:name w:val="CoverPageNames"/>
    <w:basedOn w:val="Normal"/>
    <w:uiPriority w:val="5"/>
    <w:qFormat/>
    <w:pPr>
      <w:spacing w:after="80" w:line="320" w:lineRule="exact"/>
    </w:pPr>
    <w:rPr>
      <w:rFonts w:ascii="Arial" w:hAnsi="Arial"/>
      <w:sz w:val="24"/>
      <w:szCs w:val="24"/>
    </w:rPr>
  </w:style>
  <w:style w:type="paragraph" w:customStyle="1" w:styleId="CoverPageTitle">
    <w:name w:val="CoverPageTitle"/>
    <w:basedOn w:val="Normal"/>
    <w:next w:val="Normal"/>
    <w:uiPriority w:val="5"/>
    <w:qFormat/>
    <w:pPr>
      <w:spacing w:after="480" w:line="720" w:lineRule="exact"/>
    </w:pPr>
    <w:rPr>
      <w:rFonts w:ascii="Arial" w:hAnsi="Arial"/>
      <w:spacing w:val="-20"/>
      <w:w w:val="95"/>
      <w:sz w:val="72"/>
      <w:szCs w:val="72"/>
    </w:rPr>
  </w:style>
  <w:style w:type="paragraph" w:customStyle="1" w:styleId="DraftText">
    <w:name w:val="DraftText"/>
    <w:basedOn w:val="Normal"/>
    <w:pPr>
      <w:spacing w:after="0"/>
    </w:pPr>
    <w:rPr>
      <w:rFonts w:ascii="Arial" w:hAnsi="Arial"/>
      <w:sz w:val="20"/>
      <w:szCs w:val="20"/>
    </w:rPr>
  </w:style>
  <w:style w:type="paragraph" w:customStyle="1" w:styleId="MEChapterheading">
    <w:name w:val="ME Chapter heading"/>
    <w:basedOn w:val="Normal"/>
    <w:next w:val="Normal"/>
    <w:uiPriority w:val="4"/>
    <w:qFormat/>
    <w:pPr>
      <w:pBdr>
        <w:bottom w:val="single" w:sz="4" w:space="1" w:color="auto"/>
      </w:pBdr>
      <w:spacing w:before="140" w:after="480" w:line="480" w:lineRule="exact"/>
      <w:outlineLvl w:val="0"/>
    </w:pPr>
    <w:rPr>
      <w:rFonts w:ascii="Arial" w:hAnsi="Arial"/>
      <w:spacing w:val="-10"/>
      <w:w w:val="95"/>
      <w:sz w:val="48"/>
      <w:szCs w:val="48"/>
    </w:rPr>
  </w:style>
  <w:style w:type="paragraph" w:customStyle="1" w:styleId="PartiesDetails">
    <w:name w:val="PartiesDetails"/>
    <w:basedOn w:val="Normal"/>
    <w:next w:val="Normal"/>
    <w:uiPriority w:val="4"/>
    <w:qFormat/>
    <w:pPr>
      <w:spacing w:after="0"/>
    </w:pPr>
  </w:style>
  <w:style w:type="paragraph" w:styleId="TOC2">
    <w:name w:val="toc 2"/>
    <w:basedOn w:val="Normal"/>
    <w:next w:val="Normal"/>
    <w:uiPriority w:val="39"/>
    <w:pPr>
      <w:tabs>
        <w:tab w:val="right" w:pos="9072"/>
      </w:tabs>
      <w:spacing w:before="140" w:after="60"/>
      <w:ind w:left="680" w:right="567" w:hanging="680"/>
      <w:outlineLvl w:val="1"/>
    </w:pPr>
    <w:rPr>
      <w:rFonts w:ascii="Arial" w:hAnsi="Arial"/>
      <w:b/>
      <w:bCs/>
      <w:w w:val="95"/>
      <w:sz w:val="24"/>
      <w:szCs w:val="24"/>
    </w:rPr>
  </w:style>
  <w:style w:type="paragraph" w:styleId="TOC3">
    <w:name w:val="toc 3"/>
    <w:basedOn w:val="Normal"/>
    <w:next w:val="Normal"/>
    <w:uiPriority w:val="39"/>
    <w:pPr>
      <w:tabs>
        <w:tab w:val="right" w:pos="9072"/>
      </w:tabs>
      <w:spacing w:after="0"/>
      <w:ind w:left="680" w:right="567" w:hanging="680"/>
      <w:outlineLvl w:val="2"/>
    </w:pPr>
    <w:rPr>
      <w:rFonts w:ascii="Arial" w:hAnsi="Arial"/>
      <w:w w:val="95"/>
    </w:rPr>
  </w:style>
  <w:style w:type="paragraph" w:customStyle="1" w:styleId="Bullet">
    <w:name w:val="Bullet"/>
    <w:basedOn w:val="Normal"/>
    <w:next w:val="Normal"/>
    <w:qFormat/>
    <w:pPr>
      <w:numPr>
        <w:numId w:val="22"/>
      </w:numPr>
    </w:pPr>
  </w:style>
  <w:style w:type="paragraph" w:customStyle="1" w:styleId="MEBasic1">
    <w:name w:val="ME Basic 1"/>
    <w:basedOn w:val="Normal"/>
    <w:uiPriority w:val="1"/>
    <w:qFormat/>
    <w:pPr>
      <w:numPr>
        <w:numId w:val="24"/>
      </w:numPr>
      <w:outlineLvl w:val="0"/>
    </w:pPr>
  </w:style>
  <w:style w:type="paragraph" w:customStyle="1" w:styleId="MEBasic2">
    <w:name w:val="ME Basic 2"/>
    <w:basedOn w:val="Normal"/>
    <w:uiPriority w:val="1"/>
    <w:qFormat/>
    <w:pPr>
      <w:numPr>
        <w:ilvl w:val="1"/>
        <w:numId w:val="24"/>
      </w:numPr>
      <w:outlineLvl w:val="1"/>
    </w:pPr>
  </w:style>
  <w:style w:type="paragraph" w:customStyle="1" w:styleId="MEBasic3">
    <w:name w:val="ME Basic 3"/>
    <w:basedOn w:val="Normal"/>
    <w:uiPriority w:val="1"/>
    <w:qFormat/>
    <w:pPr>
      <w:numPr>
        <w:ilvl w:val="2"/>
        <w:numId w:val="24"/>
      </w:numPr>
      <w:outlineLvl w:val="2"/>
    </w:pPr>
  </w:style>
  <w:style w:type="paragraph" w:customStyle="1" w:styleId="MEBasic4">
    <w:name w:val="ME Basic 4"/>
    <w:basedOn w:val="Normal"/>
    <w:uiPriority w:val="1"/>
    <w:qFormat/>
    <w:pPr>
      <w:numPr>
        <w:ilvl w:val="3"/>
        <w:numId w:val="24"/>
      </w:numPr>
      <w:outlineLvl w:val="3"/>
    </w:pPr>
  </w:style>
  <w:style w:type="paragraph" w:customStyle="1" w:styleId="MEBasic5">
    <w:name w:val="ME Basic 5"/>
    <w:basedOn w:val="Normal"/>
    <w:uiPriority w:val="1"/>
    <w:qFormat/>
    <w:pPr>
      <w:numPr>
        <w:ilvl w:val="4"/>
        <w:numId w:val="24"/>
      </w:numPr>
      <w:outlineLvl w:val="4"/>
    </w:pPr>
  </w:style>
  <w:style w:type="paragraph" w:customStyle="1" w:styleId="WarrantyL1">
    <w:name w:val="WarrantyL1"/>
    <w:basedOn w:val="Normal"/>
    <w:next w:val="Normal"/>
    <w:uiPriority w:val="3"/>
    <w:qFormat/>
    <w:pPr>
      <w:numPr>
        <w:numId w:val="26"/>
      </w:numPr>
      <w:spacing w:before="280"/>
      <w:outlineLvl w:val="0"/>
    </w:pPr>
    <w:rPr>
      <w:rFonts w:ascii="Arial" w:hAnsi="Arial"/>
      <w:spacing w:val="-10"/>
      <w:w w:val="95"/>
      <w:sz w:val="32"/>
    </w:rPr>
  </w:style>
  <w:style w:type="paragraph" w:customStyle="1" w:styleId="zMELogo">
    <w:name w:val="zMELogo"/>
    <w:basedOn w:val="Normal"/>
    <w:next w:val="Normal"/>
    <w:pPr>
      <w:spacing w:after="0" w:line="240" w:lineRule="auto"/>
    </w:pPr>
    <w:rPr>
      <w:w w:val="97"/>
      <w:sz w:val="62"/>
      <w:szCs w:val="62"/>
    </w:rPr>
  </w:style>
  <w:style w:type="paragraph" w:customStyle="1" w:styleId="WarrantyL2">
    <w:name w:val="WarrantyL2"/>
    <w:basedOn w:val="Normal"/>
    <w:uiPriority w:val="3"/>
    <w:qFormat/>
    <w:pPr>
      <w:numPr>
        <w:ilvl w:val="1"/>
        <w:numId w:val="26"/>
      </w:numPr>
      <w:outlineLvl w:val="1"/>
    </w:pPr>
  </w:style>
  <w:style w:type="paragraph" w:customStyle="1" w:styleId="WarrantyL3">
    <w:name w:val="WarrantyL3"/>
    <w:basedOn w:val="Normal"/>
    <w:uiPriority w:val="3"/>
    <w:qFormat/>
    <w:pPr>
      <w:numPr>
        <w:ilvl w:val="2"/>
        <w:numId w:val="26"/>
      </w:numPr>
      <w:outlineLvl w:val="2"/>
    </w:pPr>
  </w:style>
  <w:style w:type="paragraph" w:customStyle="1" w:styleId="WarrantyL4">
    <w:name w:val="WarrantyL4"/>
    <w:basedOn w:val="Normal"/>
    <w:uiPriority w:val="3"/>
    <w:qFormat/>
    <w:pPr>
      <w:numPr>
        <w:ilvl w:val="3"/>
        <w:numId w:val="26"/>
      </w:numPr>
      <w:outlineLvl w:val="3"/>
    </w:pPr>
  </w:style>
  <w:style w:type="paragraph" w:customStyle="1" w:styleId="WarrantyL5">
    <w:name w:val="WarrantyL5"/>
    <w:basedOn w:val="Normal"/>
    <w:uiPriority w:val="3"/>
    <w:qFormat/>
    <w:pPr>
      <w:numPr>
        <w:ilvl w:val="4"/>
        <w:numId w:val="26"/>
      </w:numPr>
      <w:outlineLvl w:val="4"/>
    </w:pPr>
  </w:style>
  <w:style w:type="paragraph" w:customStyle="1" w:styleId="Level1">
    <w:name w:val="Level 1"/>
    <w:basedOn w:val="Normal"/>
    <w:uiPriority w:val="3"/>
    <w:qFormat/>
    <w:pPr>
      <w:numPr>
        <w:numId w:val="61"/>
      </w:numPr>
      <w:outlineLvl w:val="0"/>
    </w:pPr>
  </w:style>
  <w:style w:type="paragraph" w:customStyle="1" w:styleId="Level2">
    <w:name w:val="Level 2"/>
    <w:basedOn w:val="Normal"/>
    <w:uiPriority w:val="3"/>
    <w:qFormat/>
    <w:pPr>
      <w:numPr>
        <w:ilvl w:val="1"/>
        <w:numId w:val="61"/>
      </w:numPr>
      <w:outlineLvl w:val="1"/>
    </w:pPr>
  </w:style>
  <w:style w:type="paragraph" w:customStyle="1" w:styleId="ItemL2">
    <w:name w:val="Item L2"/>
    <w:basedOn w:val="Normal"/>
    <w:uiPriority w:val="3"/>
    <w:qFormat/>
    <w:pPr>
      <w:numPr>
        <w:ilvl w:val="1"/>
        <w:numId w:val="91"/>
      </w:numPr>
      <w:spacing w:before="60" w:after="60"/>
      <w:outlineLvl w:val="1"/>
    </w:pPr>
  </w:style>
  <w:style w:type="paragraph" w:styleId="ListBullet">
    <w:name w:val="List Bullet"/>
    <w:basedOn w:val="Normal"/>
    <w:semiHidden/>
    <w:pPr>
      <w:numPr>
        <w:numId w:val="2"/>
      </w:numPr>
    </w:pPr>
  </w:style>
  <w:style w:type="paragraph" w:customStyle="1" w:styleId="Level3">
    <w:name w:val="Level 3"/>
    <w:basedOn w:val="Normal"/>
    <w:uiPriority w:val="3"/>
    <w:qFormat/>
    <w:pPr>
      <w:numPr>
        <w:ilvl w:val="2"/>
        <w:numId w:val="61"/>
      </w:numPr>
      <w:outlineLvl w:val="2"/>
    </w:pPr>
  </w:style>
  <w:style w:type="paragraph" w:customStyle="1" w:styleId="MELegal7">
    <w:name w:val="ME Legal 7"/>
    <w:basedOn w:val="Normal"/>
    <w:qFormat/>
    <w:pPr>
      <w:numPr>
        <w:ilvl w:val="6"/>
        <w:numId w:val="35"/>
      </w:numPr>
      <w:outlineLvl w:val="6"/>
    </w:pPr>
  </w:style>
  <w:style w:type="paragraph" w:customStyle="1" w:styleId="DefinitionL1">
    <w:name w:val="Definition L1"/>
    <w:basedOn w:val="Normal"/>
    <w:link w:val="DefinitionL1Char"/>
    <w:uiPriority w:val="3"/>
    <w:qFormat/>
    <w:pPr>
      <w:numPr>
        <w:numId w:val="45"/>
      </w:numPr>
      <w:outlineLvl w:val="0"/>
    </w:pPr>
  </w:style>
  <w:style w:type="paragraph" w:customStyle="1" w:styleId="DefinitionL2">
    <w:name w:val="Definition L2"/>
    <w:basedOn w:val="Normal"/>
    <w:link w:val="DefinitionL2Char"/>
    <w:uiPriority w:val="3"/>
    <w:qFormat/>
    <w:pPr>
      <w:numPr>
        <w:ilvl w:val="1"/>
        <w:numId w:val="45"/>
      </w:numPr>
      <w:outlineLvl w:val="1"/>
    </w:pPr>
  </w:style>
  <w:style w:type="paragraph" w:customStyle="1" w:styleId="DefinitionL3">
    <w:name w:val="Definition L3"/>
    <w:basedOn w:val="Normal"/>
    <w:uiPriority w:val="3"/>
    <w:qFormat/>
    <w:pPr>
      <w:numPr>
        <w:ilvl w:val="2"/>
        <w:numId w:val="45"/>
      </w:numPr>
      <w:outlineLvl w:val="2"/>
    </w:pPr>
  </w:style>
  <w:style w:type="paragraph" w:customStyle="1" w:styleId="PartL1">
    <w:name w:val="Part L1"/>
    <w:basedOn w:val="Normal"/>
    <w:next w:val="Normal"/>
    <w:uiPriority w:val="3"/>
    <w:qFormat/>
    <w:pPr>
      <w:numPr>
        <w:numId w:val="25"/>
      </w:numPr>
      <w:spacing w:before="200" w:after="200" w:line="400" w:lineRule="exact"/>
      <w:outlineLvl w:val="0"/>
    </w:pPr>
    <w:rPr>
      <w:rFonts w:ascii="Arial" w:hAnsi="Arial"/>
      <w:spacing w:val="-10"/>
      <w:w w:val="95"/>
      <w:sz w:val="40"/>
    </w:rPr>
  </w:style>
  <w:style w:type="numbering" w:styleId="ArticleSection">
    <w:name w:val="Outline List 3"/>
    <w:basedOn w:val="NoList"/>
    <w:semiHidden/>
    <w:pPr>
      <w:numPr>
        <w:numId w:val="4"/>
      </w:numPr>
    </w:pPr>
  </w:style>
  <w:style w:type="paragraph" w:styleId="ListBullet5">
    <w:name w:val="List Bullet 5"/>
    <w:basedOn w:val="Normal"/>
    <w:semiHidden/>
    <w:pPr>
      <w:numPr>
        <w:numId w:val="5"/>
      </w:numPr>
    </w:pPr>
  </w:style>
  <w:style w:type="paragraph" w:customStyle="1" w:styleId="CoverPageAnnexure">
    <w:name w:val="CoverPageAnnexure"/>
    <w:basedOn w:val="CoverPageTitle"/>
    <w:next w:val="Normal"/>
    <w:uiPriority w:val="5"/>
    <w:qFormat/>
    <w:pPr>
      <w:outlineLvl w:val="0"/>
    </w:pPr>
  </w:style>
  <w:style w:type="paragraph" w:styleId="NoSpacing">
    <w:name w:val="No Spacing"/>
    <w:uiPriority w:val="4"/>
    <w:unhideWhenUsed/>
    <w:qFormat/>
    <w:rPr>
      <w:rFonts w:cs="Angsana New"/>
      <w:sz w:val="22"/>
      <w:szCs w:val="28"/>
      <w:lang w:eastAsia="zh-CN" w:bidi="th-TH"/>
    </w:rPr>
  </w:style>
  <w:style w:type="numbering" w:customStyle="1" w:styleId="MELegal">
    <w:name w:val="ME Legal"/>
    <w:uiPriority w:val="99"/>
    <w:pPr>
      <w:numPr>
        <w:numId w:val="35"/>
      </w:numPr>
    </w:pPr>
  </w:style>
  <w:style w:type="character" w:customStyle="1" w:styleId="MELegal3Char">
    <w:name w:val="ME Legal 3 Char"/>
    <w:basedOn w:val="DefaultParagraphFont"/>
    <w:link w:val="MELegal3"/>
    <w:rPr>
      <w:rFonts w:cs="Angsana New"/>
      <w:sz w:val="22"/>
      <w:szCs w:val="22"/>
      <w:lang w:eastAsia="zh-CN" w:bidi="th-TH"/>
    </w:rPr>
  </w:style>
  <w:style w:type="numbering" w:customStyle="1" w:styleId="Definition">
    <w:name w:val="Definition"/>
    <w:uiPriority w:val="99"/>
    <w:pPr>
      <w:numPr>
        <w:numId w:val="45"/>
      </w:numPr>
    </w:pPr>
  </w:style>
  <w:style w:type="character" w:customStyle="1" w:styleId="DefinitionL2Char">
    <w:name w:val="Definition L2 Char"/>
    <w:basedOn w:val="DefaultParagraphFont"/>
    <w:link w:val="DefinitionL2"/>
    <w:uiPriority w:val="3"/>
    <w:rPr>
      <w:rFonts w:cs="Angsana New"/>
      <w:sz w:val="22"/>
      <w:szCs w:val="22"/>
      <w:lang w:eastAsia="zh-CN" w:bidi="th-TH"/>
    </w:rPr>
  </w:style>
  <w:style w:type="numbering" w:customStyle="1" w:styleId="MEBasic">
    <w:name w:val="ME Basic"/>
    <w:uiPriority w:val="99"/>
    <w:pPr>
      <w:numPr>
        <w:numId w:val="24"/>
      </w:numPr>
    </w:pPr>
  </w:style>
  <w:style w:type="character" w:customStyle="1" w:styleId="MELegal4Char">
    <w:name w:val="ME Legal 4 Char"/>
    <w:basedOn w:val="DefaultParagraphFont"/>
    <w:link w:val="MELegal4"/>
    <w:rPr>
      <w:rFonts w:cs="Angsana New"/>
      <w:sz w:val="22"/>
      <w:szCs w:val="22"/>
      <w:lang w:eastAsia="zh-CN" w:bidi="th-TH"/>
    </w:rPr>
  </w:style>
  <w:style w:type="numbering" w:styleId="111111">
    <w:name w:val="Outline List 2"/>
    <w:basedOn w:val="NoList"/>
    <w:semiHidden/>
    <w:pPr>
      <w:numPr>
        <w:numId w:val="8"/>
      </w:numPr>
    </w:pPr>
  </w:style>
  <w:style w:type="paragraph" w:styleId="EndnoteText">
    <w:name w:val="endnote text"/>
    <w:basedOn w:val="Normal"/>
    <w:link w:val="EndnoteTextChar"/>
    <w:semiHidden/>
    <w:pPr>
      <w:spacing w:after="0" w:line="240" w:lineRule="auto"/>
    </w:pPr>
    <w:rPr>
      <w:sz w:val="20"/>
      <w:szCs w:val="20"/>
    </w:rPr>
  </w:style>
  <w:style w:type="character" w:customStyle="1" w:styleId="EndnoteTextChar">
    <w:name w:val="Endnote Text Char"/>
    <w:basedOn w:val="DefaultParagraphFont"/>
    <w:link w:val="EndnoteText"/>
    <w:semiHidden/>
    <w:rPr>
      <w:rFonts w:cs="Angsana New"/>
      <w:lang w:eastAsia="zh-CN" w:bidi="th-TH"/>
    </w:rPr>
  </w:style>
  <w:style w:type="paragraph" w:styleId="FootnoteText">
    <w:name w:val="footnote text"/>
    <w:basedOn w:val="Normal"/>
    <w:link w:val="FootnoteTextChar"/>
    <w:semiHidden/>
    <w:pPr>
      <w:spacing w:after="0" w:line="240" w:lineRule="auto"/>
    </w:pPr>
    <w:rPr>
      <w:sz w:val="20"/>
      <w:szCs w:val="20"/>
    </w:rPr>
  </w:style>
  <w:style w:type="character" w:customStyle="1" w:styleId="FootnoteTextChar">
    <w:name w:val="Footnote Text Char"/>
    <w:basedOn w:val="DefaultParagraphFont"/>
    <w:link w:val="FootnoteText"/>
    <w:semiHidden/>
    <w:rPr>
      <w:rFonts w:cs="Angsana New"/>
      <w:lang w:eastAsia="zh-CN" w:bidi="th-TH"/>
    </w:rPr>
  </w:style>
  <w:style w:type="paragraph" w:styleId="TOC4">
    <w:name w:val="toc 4"/>
    <w:basedOn w:val="Normal"/>
    <w:next w:val="Normal"/>
    <w:uiPriority w:val="39"/>
    <w:unhideWhenUsed/>
    <w:pPr>
      <w:ind w:left="680" w:right="567" w:hanging="680"/>
      <w:outlineLvl w:val="3"/>
    </w:pPr>
    <w:rPr>
      <w:rFonts w:ascii="Arial" w:hAnsi="Arial"/>
      <w:w w:val="95"/>
    </w:rPr>
  </w:style>
  <w:style w:type="paragraph" w:styleId="TOC5">
    <w:name w:val="toc 5"/>
    <w:basedOn w:val="Normal"/>
    <w:next w:val="Normal"/>
    <w:uiPriority w:val="39"/>
    <w:unhideWhenUsed/>
    <w:pPr>
      <w:ind w:left="680" w:right="567" w:hanging="680"/>
      <w:outlineLvl w:val="4"/>
    </w:pPr>
    <w:rPr>
      <w:rFonts w:ascii="Arial" w:hAnsi="Arial"/>
      <w:w w:val="95"/>
    </w:rPr>
  </w:style>
  <w:style w:type="paragraph" w:styleId="TOC6">
    <w:name w:val="toc 6"/>
    <w:basedOn w:val="Normal"/>
    <w:next w:val="Normal"/>
    <w:uiPriority w:val="39"/>
    <w:unhideWhenUsed/>
    <w:pPr>
      <w:ind w:left="680" w:right="567" w:hanging="680"/>
      <w:outlineLvl w:val="5"/>
    </w:pPr>
    <w:rPr>
      <w:rFonts w:ascii="Arial" w:hAnsi="Arial"/>
      <w:w w:val="95"/>
    </w:rPr>
  </w:style>
  <w:style w:type="paragraph" w:styleId="TOC7">
    <w:name w:val="toc 7"/>
    <w:basedOn w:val="Normal"/>
    <w:next w:val="Normal"/>
    <w:uiPriority w:val="39"/>
    <w:unhideWhenUsed/>
    <w:pPr>
      <w:ind w:left="680" w:right="567" w:hanging="680"/>
      <w:outlineLvl w:val="6"/>
    </w:pPr>
    <w:rPr>
      <w:rFonts w:ascii="Arial" w:hAnsi="Arial"/>
      <w:w w:val="95"/>
    </w:rPr>
  </w:style>
  <w:style w:type="paragraph" w:styleId="TOC8">
    <w:name w:val="toc 8"/>
    <w:basedOn w:val="Normal"/>
    <w:next w:val="Normal"/>
    <w:uiPriority w:val="39"/>
    <w:unhideWhenUsed/>
    <w:pPr>
      <w:ind w:left="680" w:right="567" w:hanging="680"/>
      <w:outlineLvl w:val="7"/>
    </w:pPr>
    <w:rPr>
      <w:rFonts w:ascii="Arial" w:hAnsi="Arial"/>
      <w:w w:val="95"/>
    </w:rPr>
  </w:style>
  <w:style w:type="paragraph" w:styleId="TOC9">
    <w:name w:val="toc 9"/>
    <w:basedOn w:val="Normal"/>
    <w:next w:val="Normal"/>
    <w:uiPriority w:val="39"/>
    <w:unhideWhenUsed/>
    <w:pPr>
      <w:ind w:left="680" w:right="567" w:hanging="680"/>
      <w:outlineLvl w:val="8"/>
    </w:pPr>
    <w:rPr>
      <w:rFonts w:ascii="Arial" w:hAnsi="Arial"/>
      <w:w w:val="95"/>
    </w:rPr>
  </w:style>
  <w:style w:type="character" w:customStyle="1" w:styleId="DefinitionL1Char">
    <w:name w:val="Definition L1 Char"/>
    <w:basedOn w:val="DefaultParagraphFont"/>
    <w:link w:val="DefinitionL1"/>
    <w:uiPriority w:val="3"/>
    <w:rPr>
      <w:rFonts w:cs="Angsana New"/>
      <w:sz w:val="22"/>
      <w:szCs w:val="22"/>
      <w:lang w:eastAsia="zh-CN" w:bidi="th-TH"/>
    </w:rPr>
  </w:style>
  <w:style w:type="paragraph" w:styleId="BlockText">
    <w:name w:val="Block Text"/>
    <w:basedOn w:val="Normal"/>
    <w:semiHidden/>
    <w:pPr>
      <w:spacing w:after="120"/>
      <w:ind w:left="1440" w:right="1440"/>
    </w:pPr>
  </w:style>
  <w:style w:type="paragraph" w:styleId="ListParagraph">
    <w:name w:val="List Paragraph"/>
    <w:basedOn w:val="Normal"/>
    <w:uiPriority w:val="34"/>
    <w:semiHidden/>
    <w:qFormat/>
    <w:pPr>
      <w:spacing w:after="0" w:line="240" w:lineRule="auto"/>
      <w:ind w:left="720"/>
    </w:pPr>
    <w:rPr>
      <w:sz w:val="24"/>
      <w:szCs w:val="24"/>
      <w:lang w:eastAsia="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lang w:eastAsia="zh-CN" w:bidi="th-TH"/>
    </w:rPr>
  </w:style>
  <w:style w:type="paragraph" w:styleId="BodyText">
    <w:name w:val="Body Text"/>
    <w:basedOn w:val="Normal"/>
    <w:link w:val="BodyTextChar"/>
    <w:semiHidden/>
    <w:pPr>
      <w:spacing w:after="120"/>
    </w:pPr>
  </w:style>
  <w:style w:type="character" w:customStyle="1" w:styleId="BodyTextChar">
    <w:name w:val="Body Text Char"/>
    <w:basedOn w:val="DefaultParagraphFont"/>
    <w:link w:val="BodyText"/>
    <w:semiHidden/>
    <w:rPr>
      <w:rFonts w:cs="Angsana New"/>
      <w:sz w:val="22"/>
      <w:szCs w:val="22"/>
      <w:lang w:eastAsia="zh-CN" w:bidi="th-TH"/>
    </w:rPr>
  </w:style>
  <w:style w:type="paragraph" w:styleId="BodyText2">
    <w:name w:val="Body Text 2"/>
    <w:basedOn w:val="Normal"/>
    <w:link w:val="BodyText2Char"/>
    <w:semiHidden/>
    <w:pPr>
      <w:spacing w:after="120" w:line="480" w:lineRule="auto"/>
    </w:pPr>
  </w:style>
  <w:style w:type="character" w:customStyle="1" w:styleId="BodyText2Char">
    <w:name w:val="Body Text 2 Char"/>
    <w:basedOn w:val="DefaultParagraphFont"/>
    <w:link w:val="BodyText2"/>
    <w:semiHidden/>
    <w:rPr>
      <w:rFonts w:cs="Angsana New"/>
      <w:sz w:val="22"/>
      <w:szCs w:val="22"/>
      <w:lang w:eastAsia="zh-CN" w:bidi="th-TH"/>
    </w:rPr>
  </w:style>
  <w:style w:type="paragraph" w:styleId="BodyText3">
    <w:name w:val="Body Text 3"/>
    <w:basedOn w:val="Normal"/>
    <w:link w:val="BodyText3Char"/>
    <w:semiHidden/>
    <w:pPr>
      <w:spacing w:after="120"/>
    </w:pPr>
    <w:rPr>
      <w:sz w:val="16"/>
      <w:szCs w:val="16"/>
    </w:rPr>
  </w:style>
  <w:style w:type="paragraph" w:styleId="ListBullet4">
    <w:name w:val="List Bullet 4"/>
    <w:basedOn w:val="Normal"/>
    <w:semiHidden/>
    <w:pPr>
      <w:numPr>
        <w:numId w:val="11"/>
      </w:numPr>
    </w:pPr>
  </w:style>
  <w:style w:type="paragraph" w:styleId="Revision">
    <w:name w:val="Revision"/>
    <w:hidden/>
    <w:uiPriority w:val="99"/>
    <w:semiHidden/>
    <w:rPr>
      <w:sz w:val="22"/>
    </w:rPr>
  </w:style>
  <w:style w:type="numbering" w:customStyle="1" w:styleId="Schedule">
    <w:name w:val="Schedule"/>
    <w:uiPriority w:val="99"/>
    <w:pPr>
      <w:numPr>
        <w:numId w:val="94"/>
      </w:numPr>
    </w:pPr>
  </w:style>
  <w:style w:type="paragraph" w:customStyle="1" w:styleId="Item">
    <w:name w:val="Item"/>
    <w:basedOn w:val="Normal"/>
    <w:pPr>
      <w:numPr>
        <w:numId w:val="13"/>
      </w:numPr>
      <w:spacing w:before="240" w:after="240" w:line="240" w:lineRule="auto"/>
    </w:pPr>
    <w:rPr>
      <w:rFonts w:ascii="Times New (W1)" w:hAnsi="Times New (W1)"/>
      <w:sz w:val="24"/>
    </w:rPr>
  </w:style>
  <w:style w:type="paragraph" w:styleId="ListNumber4">
    <w:name w:val="List Number 4"/>
    <w:basedOn w:val="Normal"/>
    <w:semiHidden/>
    <w:pPr>
      <w:numPr>
        <w:numId w:val="20"/>
      </w:numPr>
    </w:pPr>
  </w:style>
  <w:style w:type="character" w:customStyle="1" w:styleId="BodyText3Char">
    <w:name w:val="Body Text 3 Char"/>
    <w:basedOn w:val="DefaultParagraphFont"/>
    <w:link w:val="BodyText3"/>
    <w:semiHidden/>
    <w:rPr>
      <w:rFonts w:cs="Angsana New"/>
      <w:sz w:val="16"/>
      <w:szCs w:val="16"/>
      <w:lang w:eastAsia="zh-CN" w:bidi="th-TH"/>
    </w:rPr>
  </w:style>
  <w:style w:type="paragraph" w:styleId="BodyTextFirstIndent">
    <w:name w:val="Body Text First Indent"/>
    <w:basedOn w:val="BodyText"/>
    <w:link w:val="BodyTextFirstIndentChar"/>
    <w:semiHidden/>
    <w:pPr>
      <w:ind w:firstLine="210"/>
    </w:pPr>
  </w:style>
  <w:style w:type="character" w:customStyle="1" w:styleId="BodyTextFirstIndentChar">
    <w:name w:val="Body Text First Indent Char"/>
    <w:basedOn w:val="BodyTextChar"/>
    <w:link w:val="BodyTextFirstIndent"/>
    <w:semiHidden/>
    <w:rPr>
      <w:rFonts w:cs="Angsana New"/>
      <w:sz w:val="22"/>
      <w:szCs w:val="22"/>
      <w:lang w:eastAsia="zh-CN" w:bidi="th-TH"/>
    </w:rPr>
  </w:style>
  <w:style w:type="paragraph" w:styleId="BodyTextIndent">
    <w:name w:val="Body Text Indent"/>
    <w:basedOn w:val="Normal"/>
    <w:link w:val="BodyTextIndentChar"/>
    <w:semiHidden/>
    <w:pPr>
      <w:spacing w:after="120"/>
      <w:ind w:left="283"/>
    </w:pPr>
  </w:style>
  <w:style w:type="character" w:customStyle="1" w:styleId="BodyTextIndentChar">
    <w:name w:val="Body Text Indent Char"/>
    <w:basedOn w:val="DefaultParagraphFont"/>
    <w:link w:val="BodyTextIndent"/>
    <w:semiHidden/>
    <w:rPr>
      <w:rFonts w:cs="Angsana New"/>
      <w:sz w:val="22"/>
      <w:szCs w:val="22"/>
      <w:lang w:eastAsia="zh-CN" w:bidi="th-TH"/>
    </w:rPr>
  </w:style>
  <w:style w:type="paragraph" w:styleId="BodyTextFirstIndent2">
    <w:name w:val="Body Text First Indent 2"/>
    <w:basedOn w:val="BodyTextIndent"/>
    <w:link w:val="BodyTextFirstIndent2Char"/>
    <w:semiHidden/>
    <w:pPr>
      <w:ind w:firstLine="210"/>
    </w:pPr>
  </w:style>
  <w:style w:type="character" w:customStyle="1" w:styleId="BodyTextFirstIndent2Char">
    <w:name w:val="Body Text First Indent 2 Char"/>
    <w:basedOn w:val="BodyTextIndentChar"/>
    <w:link w:val="BodyTextFirstIndent2"/>
    <w:semiHidden/>
    <w:rPr>
      <w:rFonts w:cs="Angsana New"/>
      <w:sz w:val="22"/>
      <w:szCs w:val="22"/>
      <w:lang w:eastAsia="zh-CN" w:bidi="th-TH"/>
    </w:rPr>
  </w:style>
  <w:style w:type="paragraph" w:styleId="BodyTextIndent2">
    <w:name w:val="Body Text Indent 2"/>
    <w:basedOn w:val="Normal"/>
    <w:link w:val="BodyTextIndent2Char"/>
    <w:semiHidden/>
    <w:pPr>
      <w:spacing w:after="120" w:line="480" w:lineRule="auto"/>
      <w:ind w:left="283"/>
    </w:pPr>
  </w:style>
  <w:style w:type="character" w:customStyle="1" w:styleId="BodyTextIndent2Char">
    <w:name w:val="Body Text Indent 2 Char"/>
    <w:basedOn w:val="DefaultParagraphFont"/>
    <w:link w:val="BodyTextIndent2"/>
    <w:semiHidden/>
    <w:rPr>
      <w:rFonts w:cs="Angsana New"/>
      <w:sz w:val="22"/>
      <w:szCs w:val="22"/>
      <w:lang w:eastAsia="zh-CN" w:bidi="th-TH"/>
    </w:rPr>
  </w:style>
  <w:style w:type="paragraph" w:styleId="BodyTextIndent3">
    <w:name w:val="Body Text Indent 3"/>
    <w:basedOn w:val="Normal"/>
    <w:link w:val="BodyTextIndent3Char"/>
    <w:semiHidden/>
    <w:pPr>
      <w:spacing w:after="120"/>
      <w:ind w:left="283"/>
    </w:pPr>
    <w:rPr>
      <w:sz w:val="16"/>
      <w:szCs w:val="16"/>
    </w:rPr>
  </w:style>
  <w:style w:type="character" w:customStyle="1" w:styleId="BodyTextIndent3Char">
    <w:name w:val="Body Text Indent 3 Char"/>
    <w:basedOn w:val="DefaultParagraphFont"/>
    <w:link w:val="BodyTextIndent3"/>
    <w:semiHidden/>
    <w:rPr>
      <w:rFonts w:cs="Angsana New"/>
      <w:sz w:val="16"/>
      <w:szCs w:val="16"/>
      <w:lang w:eastAsia="zh-CN" w:bidi="th-TH"/>
    </w:rPr>
  </w:style>
  <w:style w:type="paragraph" w:styleId="Caption">
    <w:name w:val="caption"/>
    <w:basedOn w:val="Normal"/>
    <w:next w:val="Normal"/>
    <w:semiHidden/>
    <w:qFormat/>
    <w:rPr>
      <w:b/>
      <w:bCs/>
      <w:sz w:val="20"/>
      <w:szCs w:val="20"/>
    </w:rPr>
  </w:style>
  <w:style w:type="paragraph" w:styleId="Closing">
    <w:name w:val="Closing"/>
    <w:basedOn w:val="Normal"/>
    <w:link w:val="ClosingChar"/>
    <w:semiHidden/>
    <w:pPr>
      <w:ind w:left="4252"/>
    </w:pPr>
  </w:style>
  <w:style w:type="character" w:customStyle="1" w:styleId="ClosingChar">
    <w:name w:val="Closing Char"/>
    <w:basedOn w:val="DefaultParagraphFont"/>
    <w:link w:val="Closing"/>
    <w:semiHidden/>
    <w:rPr>
      <w:rFonts w:cs="Angsana New"/>
      <w:sz w:val="22"/>
      <w:szCs w:val="22"/>
      <w:lang w:eastAsia="zh-CN" w:bidi="th-TH"/>
    </w:r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semiHidden/>
    <w:rPr>
      <w:sz w:val="20"/>
      <w:szCs w:val="20"/>
    </w:rPr>
  </w:style>
  <w:style w:type="character" w:customStyle="1" w:styleId="CommentTextChar">
    <w:name w:val="Comment Text Char"/>
    <w:basedOn w:val="DefaultParagraphFont"/>
    <w:link w:val="CommentText"/>
    <w:semiHidden/>
    <w:rPr>
      <w:rFonts w:cs="Angsana New"/>
      <w:lang w:eastAsia="zh-CN" w:bidi="th-TH"/>
    </w:r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rPr>
      <w:rFonts w:cs="Angsana New"/>
      <w:b/>
      <w:bCs/>
      <w:lang w:eastAsia="zh-CN" w:bidi="th-TH"/>
    </w:rPr>
  </w:style>
  <w:style w:type="paragraph" w:styleId="Date">
    <w:name w:val="Date"/>
    <w:basedOn w:val="Normal"/>
    <w:next w:val="Normal"/>
    <w:link w:val="DateChar"/>
    <w:semiHidden/>
  </w:style>
  <w:style w:type="character" w:customStyle="1" w:styleId="DateChar">
    <w:name w:val="Date Char"/>
    <w:basedOn w:val="DefaultParagraphFont"/>
    <w:link w:val="Date"/>
    <w:semiHidden/>
    <w:rPr>
      <w:rFonts w:cs="Angsana New"/>
      <w:sz w:val="22"/>
      <w:szCs w:val="22"/>
      <w:lang w:eastAsia="zh-CN" w:bidi="th-TH"/>
    </w:rPr>
  </w:style>
  <w:style w:type="paragraph" w:styleId="DocumentMap">
    <w:name w:val="Document Map"/>
    <w:basedOn w:val="Normal"/>
    <w:link w:val="DocumentMapChar"/>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Pr>
      <w:rFonts w:ascii="Tahoma" w:hAnsi="Tahoma" w:cs="Tahoma"/>
      <w:shd w:val="clear" w:color="auto" w:fill="000080"/>
      <w:lang w:eastAsia="zh-CN" w:bidi="th-TH"/>
    </w:rPr>
  </w:style>
  <w:style w:type="paragraph" w:styleId="E-mailSignature">
    <w:name w:val="E-mail Signature"/>
    <w:basedOn w:val="Normal"/>
    <w:link w:val="E-mailSignatureChar"/>
    <w:semiHidden/>
  </w:style>
  <w:style w:type="character" w:customStyle="1" w:styleId="E-mailSignatureChar">
    <w:name w:val="E-mail Signature Char"/>
    <w:basedOn w:val="DefaultParagraphFont"/>
    <w:link w:val="E-mailSignature"/>
    <w:semiHidden/>
    <w:rPr>
      <w:rFonts w:cs="Angsana New"/>
      <w:sz w:val="22"/>
      <w:szCs w:val="22"/>
      <w:lang w:eastAsia="zh-CN" w:bidi="th-TH"/>
    </w:rPr>
  </w:style>
  <w:style w:type="character" w:styleId="Emphasis">
    <w:name w:val="Emphasis"/>
    <w:basedOn w:val="DefaultParagraphFont"/>
    <w:semiHidden/>
    <w:qFormat/>
    <w:rPr>
      <w:i/>
      <w:iCs/>
    </w:rPr>
  </w:style>
  <w:style w:type="character" w:styleId="EndnoteReference">
    <w:name w:val="endnote reference"/>
    <w:basedOn w:val="DefaultParagraphFont"/>
    <w:semiHidden/>
    <w:rPr>
      <w:vertAlign w:val="superscript"/>
    </w:r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4"/>
      <w:szCs w:val="24"/>
    </w:rPr>
  </w:style>
  <w:style w:type="paragraph" w:styleId="EnvelopeReturn">
    <w:name w:val="envelope return"/>
    <w:basedOn w:val="Normal"/>
    <w:semiHidden/>
    <w:rPr>
      <w:rFonts w:ascii="Arial" w:hAnsi="Arial"/>
      <w:sz w:val="20"/>
      <w:szCs w:val="20"/>
    </w:rPr>
  </w:style>
  <w:style w:type="character" w:styleId="FollowedHyperlink">
    <w:name w:val="FollowedHyperlink"/>
    <w:basedOn w:val="DefaultParagraphFont"/>
    <w:semiHidden/>
    <w:rPr>
      <w:color w:val="800080"/>
      <w:u w:val="single"/>
    </w:rPr>
  </w:style>
  <w:style w:type="character" w:styleId="FootnoteReference">
    <w:name w:val="footnote reference"/>
    <w:basedOn w:val="DefaultParagraphFont"/>
    <w:semiHidden/>
    <w:rPr>
      <w:vertAlign w:val="superscript"/>
    </w:rPr>
  </w:style>
  <w:style w:type="character" w:styleId="HTMLAcronym">
    <w:name w:val="HTML Acronym"/>
    <w:basedOn w:val="DefaultParagraphFont"/>
    <w:semiHidden/>
  </w:style>
  <w:style w:type="paragraph" w:styleId="HTMLAddress">
    <w:name w:val="HTML Address"/>
    <w:basedOn w:val="Normal"/>
    <w:link w:val="HTMLAddressChar"/>
    <w:semiHidden/>
    <w:rPr>
      <w:i/>
      <w:iCs/>
    </w:rPr>
  </w:style>
  <w:style w:type="character" w:customStyle="1" w:styleId="HTMLAddressChar">
    <w:name w:val="HTML Address Char"/>
    <w:basedOn w:val="DefaultParagraphFont"/>
    <w:link w:val="HTMLAddress"/>
    <w:semiHidden/>
    <w:rPr>
      <w:rFonts w:cs="Angsana New"/>
      <w:i/>
      <w:iCs/>
      <w:sz w:val="22"/>
      <w:szCs w:val="22"/>
      <w:lang w:eastAsia="zh-CN" w:bidi="th-TH"/>
    </w:rPr>
  </w:style>
  <w:style w:type="character" w:styleId="HTMLCite">
    <w:name w:val="HTML Cite"/>
    <w:basedOn w:val="DefaultParagraphFont"/>
    <w:semiHidden/>
    <w:rPr>
      <w:i/>
      <w:iCs/>
    </w:rPr>
  </w:style>
  <w:style w:type="character" w:styleId="HTMLCode">
    <w:name w:val="HTML Code"/>
    <w:basedOn w:val="DefaultParagraphFont"/>
    <w:semiHidden/>
    <w:rPr>
      <w:rFonts w:ascii="Courier New" w:hAnsi="Courier New"/>
      <w:sz w:val="20"/>
      <w:szCs w:val="20"/>
    </w:rPr>
  </w:style>
  <w:style w:type="character" w:styleId="HTMLDefinition">
    <w:name w:val="HTML Definition"/>
    <w:basedOn w:val="DefaultParagraphFont"/>
    <w:semiHidden/>
    <w:rPr>
      <w:i/>
      <w:iCs/>
    </w:rPr>
  </w:style>
  <w:style w:type="character" w:styleId="HTMLKeyboard">
    <w:name w:val="HTML Keyboard"/>
    <w:basedOn w:val="DefaultParagraphFont"/>
    <w:semiHidden/>
    <w:rPr>
      <w:rFonts w:ascii="Courier New" w:hAnsi="Courier New"/>
      <w:sz w:val="20"/>
      <w:szCs w:val="20"/>
    </w:rPr>
  </w:style>
  <w:style w:type="paragraph" w:styleId="HTMLPreformatted">
    <w:name w:val="HTML Preformatted"/>
    <w:basedOn w:val="Normal"/>
    <w:link w:val="HTMLPreformattedChar"/>
    <w:semiHidden/>
    <w:rPr>
      <w:rFonts w:ascii="Courier New" w:hAnsi="Courier New"/>
      <w:sz w:val="20"/>
      <w:szCs w:val="20"/>
    </w:rPr>
  </w:style>
  <w:style w:type="character" w:customStyle="1" w:styleId="HTMLPreformattedChar">
    <w:name w:val="HTML Preformatted Char"/>
    <w:basedOn w:val="DefaultParagraphFont"/>
    <w:link w:val="HTMLPreformatted"/>
    <w:semiHidden/>
    <w:rPr>
      <w:rFonts w:ascii="Courier New" w:hAnsi="Courier New" w:cs="Angsana New"/>
      <w:lang w:eastAsia="zh-CN" w:bidi="th-TH"/>
    </w:rPr>
  </w:style>
  <w:style w:type="character" w:styleId="HTMLSample">
    <w:name w:val="HTML Sample"/>
    <w:basedOn w:val="DefaultParagraphFont"/>
    <w:semiHidden/>
    <w:rPr>
      <w:rFonts w:ascii="Courier New" w:hAnsi="Courier New"/>
    </w:rPr>
  </w:style>
  <w:style w:type="character" w:styleId="HTMLTypewriter">
    <w:name w:val="HTML Typewriter"/>
    <w:basedOn w:val="DefaultParagraphFont"/>
    <w:semiHidden/>
    <w:rPr>
      <w:rFonts w:ascii="Courier New" w:hAnsi="Courier New"/>
      <w:sz w:val="20"/>
      <w:szCs w:val="20"/>
    </w:rPr>
  </w:style>
  <w:style w:type="character" w:styleId="HTMLVariable">
    <w:name w:val="HTML Variable"/>
    <w:basedOn w:val="DefaultParagraphFont"/>
    <w:semiHidden/>
    <w:rPr>
      <w:i/>
      <w:iCs/>
    </w:rPr>
  </w:style>
  <w:style w:type="character" w:styleId="Hyperlink">
    <w:name w:val="Hyperlink"/>
    <w:basedOn w:val="DefaultParagraphFont"/>
    <w:semiHidden/>
    <w:rPr>
      <w:color w:val="0000FF"/>
      <w:u w:val="single"/>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rFonts w:ascii="Arial" w:hAnsi="Arial"/>
      <w:b/>
      <w:bCs/>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2">
    <w:name w:val="List Bullet 2"/>
    <w:basedOn w:val="Normal"/>
    <w:semiHidden/>
    <w:pPr>
      <w:numPr>
        <w:numId w:val="15"/>
      </w:numPr>
    </w:pPr>
  </w:style>
  <w:style w:type="paragraph" w:styleId="ListBullet3">
    <w:name w:val="List Bullet 3"/>
    <w:basedOn w:val="Normal"/>
    <w:semiHidden/>
    <w:pPr>
      <w:numPr>
        <w:numId w:val="1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7"/>
      </w:numPr>
    </w:pPr>
  </w:style>
  <w:style w:type="paragraph" w:styleId="ListNumber2">
    <w:name w:val="List Number 2"/>
    <w:basedOn w:val="Normal"/>
    <w:semiHidden/>
    <w:pPr>
      <w:numPr>
        <w:numId w:val="18"/>
      </w:numPr>
    </w:pPr>
  </w:style>
  <w:style w:type="paragraph" w:styleId="ListNumber3">
    <w:name w:val="List Number 3"/>
    <w:basedOn w:val="Normal"/>
    <w:semiHidden/>
    <w:pPr>
      <w:numPr>
        <w:numId w:val="19"/>
      </w:numPr>
    </w:pPr>
  </w:style>
  <w:style w:type="paragraph" w:styleId="ListNumber5">
    <w:name w:val="List Number 5"/>
    <w:basedOn w:val="Normal"/>
    <w:semiHidden/>
    <w:pPr>
      <w:numPr>
        <w:numId w:val="21"/>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140" w:line="280" w:lineRule="atLeast"/>
    </w:pPr>
    <w:rPr>
      <w:rFonts w:ascii="Courier New" w:hAnsi="Courier New" w:cs="Angsana New"/>
      <w:lang w:eastAsia="zh-CN" w:bidi="th-TH"/>
    </w:rPr>
  </w:style>
  <w:style w:type="character" w:customStyle="1" w:styleId="MacroTextChar">
    <w:name w:val="Macro Text Char"/>
    <w:basedOn w:val="DefaultParagraphFont"/>
    <w:link w:val="MacroText"/>
    <w:semiHidden/>
    <w:rPr>
      <w:rFonts w:ascii="Courier New" w:hAnsi="Courier New" w:cs="Angsana New"/>
      <w:lang w:eastAsia="zh-CN" w:bidi="th-TH"/>
    </w:rPr>
  </w:style>
  <w:style w:type="paragraph" w:styleId="MessageHeader">
    <w:name w:val="Message Header"/>
    <w:basedOn w:val="Normal"/>
    <w:link w:val="MessageHeaderChar"/>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MessageHeaderChar">
    <w:name w:val="Message Header Char"/>
    <w:basedOn w:val="DefaultParagraphFont"/>
    <w:link w:val="MessageHeader"/>
    <w:semiHidden/>
    <w:rPr>
      <w:rFonts w:ascii="Arial" w:hAnsi="Arial" w:cs="Angsana New"/>
      <w:sz w:val="24"/>
      <w:szCs w:val="24"/>
      <w:shd w:val="pct20" w:color="auto" w:fill="auto"/>
      <w:lang w:eastAsia="zh-CN" w:bidi="th-TH"/>
    </w:rPr>
  </w:style>
  <w:style w:type="paragraph" w:styleId="NormalWeb">
    <w:name w:val="Normal (Web)"/>
    <w:basedOn w:val="Normal"/>
    <w:semiHidden/>
    <w:rPr>
      <w:sz w:val="24"/>
      <w:szCs w:val="24"/>
    </w:rPr>
  </w:style>
  <w:style w:type="paragraph" w:styleId="NormalIndent">
    <w:name w:val="Normal Indent"/>
    <w:basedOn w:val="Normal"/>
    <w:semiHidden/>
    <w:pPr>
      <w:ind w:left="680"/>
    </w:pPr>
  </w:style>
  <w:style w:type="paragraph" w:styleId="NoteHeading">
    <w:name w:val="Note Heading"/>
    <w:basedOn w:val="Normal"/>
    <w:next w:val="Normal"/>
    <w:link w:val="NoteHeadingChar"/>
    <w:semiHidden/>
  </w:style>
  <w:style w:type="character" w:customStyle="1" w:styleId="NoteHeadingChar">
    <w:name w:val="Note Heading Char"/>
    <w:basedOn w:val="DefaultParagraphFont"/>
    <w:link w:val="NoteHeading"/>
    <w:semiHidden/>
    <w:rPr>
      <w:rFonts w:cs="Angsana New"/>
      <w:sz w:val="22"/>
      <w:szCs w:val="22"/>
      <w:lang w:eastAsia="zh-CN" w:bidi="th-TH"/>
    </w:rPr>
  </w:style>
  <w:style w:type="paragraph" w:styleId="PlainText">
    <w:name w:val="Plain Text"/>
    <w:basedOn w:val="Normal"/>
    <w:link w:val="PlainTextChar"/>
    <w:semiHidden/>
    <w:rPr>
      <w:rFonts w:ascii="Courier New" w:hAnsi="Courier New"/>
      <w:sz w:val="20"/>
      <w:szCs w:val="20"/>
    </w:rPr>
  </w:style>
  <w:style w:type="character" w:customStyle="1" w:styleId="PlainTextChar">
    <w:name w:val="Plain Text Char"/>
    <w:basedOn w:val="DefaultParagraphFont"/>
    <w:link w:val="PlainText"/>
    <w:semiHidden/>
    <w:rPr>
      <w:rFonts w:ascii="Courier New" w:hAnsi="Courier New" w:cs="Angsana New"/>
      <w:lang w:eastAsia="zh-CN" w:bidi="th-TH"/>
    </w:rPr>
  </w:style>
  <w:style w:type="paragraph" w:styleId="Salutation">
    <w:name w:val="Salutation"/>
    <w:basedOn w:val="Normal"/>
    <w:next w:val="Normal"/>
    <w:link w:val="SalutationChar"/>
    <w:semiHidden/>
  </w:style>
  <w:style w:type="character" w:customStyle="1" w:styleId="SalutationChar">
    <w:name w:val="Salutation Char"/>
    <w:basedOn w:val="DefaultParagraphFont"/>
    <w:link w:val="Salutation"/>
    <w:semiHidden/>
    <w:rPr>
      <w:rFonts w:cs="Angsana New"/>
      <w:sz w:val="22"/>
      <w:szCs w:val="22"/>
      <w:lang w:eastAsia="zh-CN" w:bidi="th-TH"/>
    </w:rPr>
  </w:style>
  <w:style w:type="paragraph" w:styleId="Signature">
    <w:name w:val="Signature"/>
    <w:basedOn w:val="Normal"/>
    <w:link w:val="SignatureChar"/>
    <w:semiHidden/>
    <w:pPr>
      <w:ind w:left="4252"/>
    </w:pPr>
  </w:style>
  <w:style w:type="character" w:customStyle="1" w:styleId="SignatureChar">
    <w:name w:val="Signature Char"/>
    <w:basedOn w:val="DefaultParagraphFont"/>
    <w:link w:val="Signature"/>
    <w:semiHidden/>
    <w:rPr>
      <w:rFonts w:cs="Angsana New"/>
      <w:sz w:val="22"/>
      <w:szCs w:val="22"/>
      <w:lang w:eastAsia="zh-CN" w:bidi="th-TH"/>
    </w:rPr>
  </w:style>
  <w:style w:type="character" w:styleId="Strong">
    <w:name w:val="Strong"/>
    <w:basedOn w:val="DefaultParagraphFont"/>
    <w:semiHidden/>
    <w:qFormat/>
    <w:rPr>
      <w:b/>
      <w:bCs/>
    </w:rPr>
  </w:style>
  <w:style w:type="paragraph" w:styleId="Subtitle">
    <w:name w:val="Subtitle"/>
    <w:basedOn w:val="Normal"/>
    <w:link w:val="SubtitleChar"/>
    <w:semiHidden/>
    <w:qFormat/>
    <w:pPr>
      <w:spacing w:after="60"/>
      <w:jc w:val="center"/>
      <w:outlineLvl w:val="1"/>
    </w:pPr>
    <w:rPr>
      <w:rFonts w:ascii="Arial" w:hAnsi="Arial"/>
      <w:sz w:val="24"/>
      <w:szCs w:val="24"/>
    </w:rPr>
  </w:style>
  <w:style w:type="character" w:customStyle="1" w:styleId="SubtitleChar">
    <w:name w:val="Subtitle Char"/>
    <w:basedOn w:val="DefaultParagraphFont"/>
    <w:link w:val="Subtitle"/>
    <w:semiHidden/>
    <w:rPr>
      <w:rFonts w:ascii="Arial" w:hAnsi="Arial" w:cs="Angsana New"/>
      <w:sz w:val="24"/>
      <w:szCs w:val="24"/>
      <w:lang w:eastAsia="zh-CN" w:bidi="th-TH"/>
    </w:rPr>
  </w:style>
  <w:style w:type="table" w:styleId="Table3Deffects1">
    <w:name w:val="Table 3D effects 1"/>
    <w:basedOn w:val="TableNormal"/>
    <w:semiHidden/>
    <w:pPr>
      <w:spacing w:after="140" w:line="280" w:lineRule="atLeast"/>
    </w:pPr>
    <w:rPr>
      <w:rFonts w:ascii="Times New (W1)" w:hAnsi="Times New (W1)"/>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after="140" w:line="280" w:lineRule="atLeast"/>
    </w:pPr>
    <w:rPr>
      <w:rFonts w:ascii="Times New (W1)" w:hAnsi="Times New (W1)"/>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after="140" w:line="280" w:lineRule="atLeast"/>
    </w:pPr>
    <w:rPr>
      <w:rFonts w:ascii="Times New (W1)" w:hAnsi="Times New (W1)"/>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after="140" w:line="280" w:lineRule="atLeast"/>
    </w:pPr>
    <w:rPr>
      <w:rFonts w:ascii="Times New (W1)" w:hAnsi="Times New (W1)"/>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after="140" w:line="280" w:lineRule="atLeast"/>
    </w:pPr>
    <w:rPr>
      <w:rFonts w:ascii="Times New (W1)" w:hAnsi="Times New (W1)"/>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after="140" w:line="280" w:lineRule="atLeast"/>
    </w:pPr>
    <w:rPr>
      <w:rFonts w:ascii="Times New (W1)" w:hAnsi="Times New (W1)"/>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after="140" w:line="280" w:lineRule="atLeast"/>
    </w:pPr>
    <w:rPr>
      <w:rFonts w:ascii="Times New (W1)" w:hAnsi="Times New (W1)"/>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after="140" w:line="280" w:lineRule="atLeast"/>
    </w:pPr>
    <w:rPr>
      <w:rFonts w:ascii="Times New (W1)" w:hAnsi="Times New (W1)"/>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after="140" w:line="280" w:lineRule="atLeast"/>
    </w:pPr>
    <w:rPr>
      <w:rFonts w:ascii="Times New (W1)" w:hAnsi="Times New (W1)"/>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after="140" w:line="280" w:lineRule="atLeast"/>
    </w:pPr>
    <w:rPr>
      <w:rFonts w:ascii="Times New (W1)" w:hAnsi="Times New (W1)"/>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after="140" w:line="280" w:lineRule="atLeast"/>
    </w:pPr>
    <w:rPr>
      <w:rFonts w:ascii="Times New (W1)" w:hAnsi="Times New (W1)"/>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after="140" w:line="280" w:lineRule="atLeast"/>
    </w:pPr>
    <w:rPr>
      <w:rFonts w:ascii="Times New (W1)" w:hAnsi="Times New (W1)"/>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after="140" w:line="280" w:lineRule="atLeast"/>
    </w:pPr>
    <w:rPr>
      <w:rFonts w:ascii="Times New (W1)" w:hAnsi="Times New (W1)"/>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after="140" w:line="280" w:lineRule="atLeast"/>
    </w:pPr>
    <w:rPr>
      <w:rFonts w:ascii="Times New (W1)" w:hAnsi="Times New (W1)"/>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after="140" w:line="280" w:lineRule="atLeast"/>
    </w:pPr>
    <w:rPr>
      <w:rFonts w:ascii="Times New (W1)" w:hAnsi="Times New (W1)"/>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after="140" w:line="280" w:lineRule="atLeast"/>
    </w:pPr>
    <w:rPr>
      <w:rFonts w:ascii="Times New (W1)" w:hAnsi="Times New (W1)"/>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after="140" w:line="280" w:lineRule="atLeast"/>
    </w:pPr>
    <w:rPr>
      <w:rFonts w:ascii="Times New (W1)" w:hAnsi="Times New (W1)"/>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pPr>
      <w:spacing w:after="140" w:line="280" w:lineRule="atLeast"/>
    </w:pPr>
    <w:rPr>
      <w:rFonts w:ascii="Times New (W1)" w:hAnsi="Times New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pPr>
      <w:spacing w:after="140" w:line="280" w:lineRule="atLeast"/>
    </w:pPr>
    <w:rPr>
      <w:rFonts w:ascii="Times New (W1)" w:hAnsi="Times New (W1)"/>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after="140" w:line="280" w:lineRule="atLeast"/>
    </w:pPr>
    <w:rPr>
      <w:rFonts w:ascii="Times New (W1)" w:hAnsi="Times New (W1)"/>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after="140" w:line="280" w:lineRule="atLeast"/>
    </w:pPr>
    <w:rPr>
      <w:rFonts w:ascii="Times New (W1)" w:hAnsi="Times New (W1)"/>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after="140" w:line="280" w:lineRule="atLeast"/>
    </w:pPr>
    <w:rPr>
      <w:rFonts w:ascii="Times New (W1)" w:hAnsi="Times New (W1)"/>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after="140" w:line="280" w:lineRule="atLeast"/>
    </w:pPr>
    <w:rPr>
      <w:rFonts w:ascii="Times New (W1)" w:hAnsi="Times New (W1)"/>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after="140" w:line="280" w:lineRule="atLeast"/>
    </w:pPr>
    <w:rPr>
      <w:rFonts w:ascii="Times New (W1)" w:hAnsi="Times New (W1)"/>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after="140" w:line="280" w:lineRule="atLeast"/>
    </w:pPr>
    <w:rPr>
      <w:rFonts w:ascii="Times New (W1)" w:hAnsi="Times New (W1)"/>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after="140" w:line="280" w:lineRule="atLeast"/>
    </w:pPr>
    <w:rPr>
      <w:rFonts w:ascii="Times New (W1)" w:hAnsi="Times New (W1)"/>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after="140" w:line="280" w:lineRule="atLeast"/>
    </w:pPr>
    <w:rPr>
      <w:rFonts w:ascii="Times New (W1)" w:hAnsi="Times New (W1)"/>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after="140" w:line="280" w:lineRule="atLeast"/>
    </w:pPr>
    <w:rPr>
      <w:rFonts w:ascii="Times New (W1)" w:hAnsi="Times New (W1)"/>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after="140" w:line="280" w:lineRule="atLeast"/>
    </w:pPr>
    <w:rPr>
      <w:rFonts w:ascii="Times New (W1)" w:hAnsi="Times New (W1)"/>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after="140" w:line="280" w:lineRule="atLeast"/>
    </w:pPr>
    <w:rPr>
      <w:rFonts w:ascii="Times New (W1)" w:hAnsi="Times New (W1)"/>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after="140" w:line="280" w:lineRule="atLeast"/>
    </w:pPr>
    <w:rPr>
      <w:rFonts w:ascii="Times New (W1)" w:hAnsi="Times New (W1)"/>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after="140" w:line="280" w:lineRule="atLeast"/>
    </w:pPr>
    <w:rPr>
      <w:rFonts w:ascii="Times New (W1)" w:hAnsi="Times New (W1)"/>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after="140" w:line="280" w:lineRule="atLeast"/>
    </w:pPr>
    <w:rPr>
      <w:rFonts w:ascii="Times New (W1)" w:hAnsi="Times New (W1)"/>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after="140" w:line="280" w:lineRule="atLeast"/>
    </w:pPr>
    <w:rPr>
      <w:rFonts w:ascii="Times New (W1)" w:hAnsi="Times New (W1)"/>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style>
  <w:style w:type="table" w:styleId="TableProfessional">
    <w:name w:val="Table Professional"/>
    <w:basedOn w:val="TableNormal"/>
    <w:semiHidden/>
    <w:pPr>
      <w:spacing w:after="140" w:line="280" w:lineRule="atLeast"/>
    </w:pPr>
    <w:rPr>
      <w:rFonts w:ascii="Times New (W1)" w:hAnsi="Times New (W1)"/>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after="140" w:line="280" w:lineRule="atLeast"/>
    </w:pPr>
    <w:rPr>
      <w:rFonts w:ascii="Times New (W1)" w:hAnsi="Times New (W1)"/>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after="140" w:line="280" w:lineRule="atLeast"/>
    </w:pPr>
    <w:rPr>
      <w:rFonts w:ascii="Times New (W1)" w:hAnsi="Times New (W1)"/>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after="140" w:line="280" w:lineRule="atLeast"/>
    </w:pPr>
    <w:rPr>
      <w:rFonts w:ascii="Times New (W1)" w:hAnsi="Times New (W1)"/>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after="140" w:line="280" w:lineRule="atLeast"/>
    </w:pPr>
    <w:rPr>
      <w:rFonts w:ascii="Times New (W1)" w:hAnsi="Times New (W1)"/>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after="140" w:line="280" w:lineRule="atLeast"/>
    </w:pPr>
    <w:rPr>
      <w:rFonts w:ascii="Times New (W1)" w:hAnsi="Times New (W1)"/>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after="140" w:line="280" w:lineRule="atLeast"/>
    </w:pPr>
    <w:rPr>
      <w:rFonts w:ascii="Times New (W1)" w:hAnsi="Times New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after="140" w:line="280" w:lineRule="atLeast"/>
    </w:pPr>
    <w:rPr>
      <w:rFonts w:ascii="Times New (W1)" w:hAnsi="Times New (W1)"/>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after="140" w:line="280" w:lineRule="atLeast"/>
    </w:pPr>
    <w:rPr>
      <w:rFonts w:ascii="Times New (W1)" w:hAnsi="Times New (W1)"/>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after="140" w:line="280" w:lineRule="atLeast"/>
    </w:pPr>
    <w:rPr>
      <w:rFonts w:ascii="Times New (W1)" w:hAnsi="Times New (W1)"/>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semiHidden/>
    <w:qFormat/>
    <w:pPr>
      <w:spacing w:before="240" w:after="60"/>
      <w:jc w:val="center"/>
      <w:outlineLvl w:val="0"/>
    </w:pPr>
    <w:rPr>
      <w:rFonts w:ascii="Arial" w:hAnsi="Arial"/>
      <w:b/>
      <w:bCs/>
      <w:kern w:val="28"/>
      <w:sz w:val="32"/>
      <w:szCs w:val="32"/>
    </w:rPr>
  </w:style>
  <w:style w:type="character" w:customStyle="1" w:styleId="TitleChar">
    <w:name w:val="Title Char"/>
    <w:basedOn w:val="DefaultParagraphFont"/>
    <w:link w:val="Title"/>
    <w:semiHidden/>
    <w:rPr>
      <w:rFonts w:ascii="Arial" w:hAnsi="Arial" w:cs="Angsana New"/>
      <w:b/>
      <w:bCs/>
      <w:kern w:val="28"/>
      <w:sz w:val="32"/>
      <w:szCs w:val="32"/>
      <w:lang w:eastAsia="zh-CN" w:bidi="th-TH"/>
    </w:rPr>
  </w:style>
  <w:style w:type="paragraph" w:styleId="TOAHeading">
    <w:name w:val="toa heading"/>
    <w:basedOn w:val="Normal"/>
    <w:next w:val="Normal"/>
    <w:semiHidden/>
    <w:pPr>
      <w:spacing w:before="120"/>
    </w:pPr>
    <w:rPr>
      <w:rFonts w:ascii="Arial" w:hAnsi="Arial"/>
      <w:b/>
      <w:bCs/>
      <w:sz w:val="24"/>
      <w:szCs w:val="24"/>
    </w:rPr>
  </w:style>
  <w:style w:type="numbering" w:customStyle="1" w:styleId="Level">
    <w:name w:val="Level"/>
    <w:uiPriority w:val="99"/>
    <w:pPr>
      <w:numPr>
        <w:numId w:val="100"/>
      </w:numPr>
    </w:pPr>
  </w:style>
  <w:style w:type="numbering" w:customStyle="1" w:styleId="Part">
    <w:name w:val="Part"/>
    <w:uiPriority w:val="99"/>
    <w:pPr>
      <w:numPr>
        <w:numId w:val="25"/>
      </w:numPr>
    </w:pPr>
  </w:style>
  <w:style w:type="numbering" w:customStyle="1" w:styleId="Warranty">
    <w:name w:val="Warranty"/>
    <w:uiPriority w:val="99"/>
    <w:pPr>
      <w:numPr>
        <w:numId w:val="26"/>
      </w:numPr>
    </w:pPr>
  </w:style>
  <w:style w:type="numbering" w:styleId="1ai">
    <w:name w:val="Outline List 1"/>
    <w:basedOn w:val="NoList"/>
    <w:semiHidden/>
    <w:pPr>
      <w:numPr>
        <w:numId w:val="27"/>
      </w:numPr>
    </w:pPr>
  </w:style>
  <w:style w:type="paragraph" w:styleId="Bibliography">
    <w:name w:val="Bibliography"/>
    <w:basedOn w:val="Normal"/>
    <w:next w:val="Normal"/>
    <w:uiPriority w:val="37"/>
    <w:semiHidden/>
    <w:unhideWhenUsed/>
    <w:rPr>
      <w:szCs w:val="28"/>
    </w:rPr>
  </w:style>
  <w:style w:type="character" w:styleId="BookTitle">
    <w:name w:val="Book Title"/>
    <w:basedOn w:val="DefaultParagraphFont"/>
    <w:uiPriority w:val="33"/>
    <w:semiHidden/>
    <w:qFormat/>
    <w:rPr>
      <w:b/>
      <w:bCs/>
      <w:smallCaps/>
      <w:spacing w:val="5"/>
    </w:rPr>
  </w:style>
  <w:style w:type="paragraph" w:customStyle="1" w:styleId="MELegal8">
    <w:name w:val="ME Legal 8"/>
    <w:basedOn w:val="Normal"/>
    <w:semiHidden/>
    <w:unhideWhenUsed/>
    <w:qFormat/>
    <w:pPr>
      <w:numPr>
        <w:ilvl w:val="7"/>
        <w:numId w:val="35"/>
      </w:numPr>
      <w:outlineLvl w:val="7"/>
    </w:pPr>
  </w:style>
  <w:style w:type="table" w:styleId="ColorfulGrid-Accent1">
    <w:name w:val="Colorful Grid Accent 1"/>
    <w:basedOn w:val="TableNormal"/>
    <w:uiPriority w:val="73"/>
    <w:semiHidden/>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semiHidden/>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semiHidden/>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semiHidden/>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semiHidden/>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semiHidden/>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MELegal9">
    <w:name w:val="ME Legal 9"/>
    <w:basedOn w:val="Normal"/>
    <w:semiHidden/>
    <w:unhideWhenUsed/>
    <w:qFormat/>
    <w:pPr>
      <w:numPr>
        <w:ilvl w:val="8"/>
        <w:numId w:val="35"/>
      </w:numPr>
      <w:outlineLvl w:val="8"/>
    </w:pPr>
  </w:style>
  <w:style w:type="table" w:styleId="ColorfulList-Accent1">
    <w:name w:val="Colorful List Accent 1"/>
    <w:basedOn w:val="TableNormal"/>
    <w:uiPriority w:val="72"/>
    <w:semiHidden/>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semiHidden/>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semiHidden/>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semiHidden/>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semiHidden/>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semiHidden/>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customStyle="1" w:styleId="MEBasic6">
    <w:name w:val="ME Basic 6"/>
    <w:basedOn w:val="Normal"/>
    <w:uiPriority w:val="2"/>
    <w:semiHidden/>
    <w:unhideWhenUsed/>
    <w:qFormat/>
    <w:pPr>
      <w:numPr>
        <w:ilvl w:val="5"/>
        <w:numId w:val="24"/>
      </w:numPr>
      <w:outlineLvl w:val="5"/>
    </w:pPr>
  </w:style>
  <w:style w:type="table" w:styleId="ColorfulShading-Accent1">
    <w:name w:val="Colorful Shading Accent 1"/>
    <w:basedOn w:val="TableNormal"/>
    <w:uiPriority w:val="71"/>
    <w:semiHidden/>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semiHidden/>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paragraph" w:customStyle="1" w:styleId="MEBasic7">
    <w:name w:val="ME Basic 7"/>
    <w:basedOn w:val="Normal"/>
    <w:uiPriority w:val="2"/>
    <w:semiHidden/>
    <w:unhideWhenUsed/>
    <w:qFormat/>
    <w:pPr>
      <w:numPr>
        <w:ilvl w:val="6"/>
        <w:numId w:val="24"/>
      </w:numPr>
      <w:outlineLvl w:val="6"/>
    </w:pPr>
  </w:style>
  <w:style w:type="table" w:styleId="DarkList-Accent1">
    <w:name w:val="Dark List Accent 1"/>
    <w:basedOn w:val="TableNormal"/>
    <w:uiPriority w:val="70"/>
    <w:semiHidden/>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semiHidden/>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semiHidden/>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semiHidden/>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semiHidden/>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semiHidden/>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IntenseEmphasis">
    <w:name w:val="Intense Emphasis"/>
    <w:basedOn w:val="DefaultParagraphFont"/>
    <w:uiPriority w:val="21"/>
    <w:semiHidden/>
    <w:qFormat/>
    <w:rPr>
      <w:b/>
      <w:bCs/>
      <w:i/>
      <w:iCs/>
      <w:color w:val="4F81BD"/>
    </w:rPr>
  </w:style>
  <w:style w:type="paragraph" w:styleId="IntenseQuote">
    <w:name w:val="Intense Quote"/>
    <w:basedOn w:val="Normal"/>
    <w:next w:val="Normal"/>
    <w:link w:val="IntenseQuoteChar"/>
    <w:uiPriority w:val="30"/>
    <w:semiHidden/>
    <w:qFormat/>
    <w:pPr>
      <w:pBdr>
        <w:bottom w:val="single" w:sz="4" w:space="4" w:color="4F81BD"/>
      </w:pBdr>
      <w:spacing w:before="200" w:after="280"/>
      <w:ind w:left="936" w:right="936"/>
    </w:pPr>
    <w:rPr>
      <w:b/>
      <w:bCs/>
      <w:i/>
      <w:iCs/>
      <w:color w:val="4F81BD"/>
      <w:szCs w:val="28"/>
    </w:rPr>
  </w:style>
  <w:style w:type="character" w:customStyle="1" w:styleId="IntenseQuoteChar">
    <w:name w:val="Intense Quote Char"/>
    <w:basedOn w:val="DefaultParagraphFont"/>
    <w:link w:val="IntenseQuote"/>
    <w:uiPriority w:val="30"/>
    <w:rPr>
      <w:rFonts w:cs="Angsana New"/>
      <w:b/>
      <w:bCs/>
      <w:i/>
      <w:iCs/>
      <w:color w:val="4F81BD"/>
      <w:sz w:val="22"/>
      <w:szCs w:val="28"/>
      <w:lang w:eastAsia="zh-CN" w:bidi="th-TH"/>
    </w:rPr>
  </w:style>
  <w:style w:type="character" w:styleId="IntenseReference">
    <w:name w:val="Intense Reference"/>
    <w:basedOn w:val="DefaultParagraphFont"/>
    <w:uiPriority w:val="32"/>
    <w:semiHidden/>
    <w:qFormat/>
    <w:rPr>
      <w:b/>
      <w:bCs/>
      <w:smallCaps/>
      <w:color w:val="C0504D"/>
      <w:spacing w:val="5"/>
      <w:u w:val="single"/>
    </w:rPr>
  </w:style>
  <w:style w:type="paragraph" w:customStyle="1" w:styleId="MEBasic8">
    <w:name w:val="ME Basic 8"/>
    <w:basedOn w:val="Normal"/>
    <w:uiPriority w:val="2"/>
    <w:semiHidden/>
    <w:unhideWhenUsed/>
    <w:qFormat/>
    <w:pPr>
      <w:numPr>
        <w:ilvl w:val="7"/>
        <w:numId w:val="24"/>
      </w:numPr>
      <w:outlineLvl w:val="7"/>
    </w:pPr>
  </w:style>
  <w:style w:type="paragraph" w:customStyle="1" w:styleId="MEBasic9">
    <w:name w:val="ME Basic 9"/>
    <w:basedOn w:val="Normal"/>
    <w:uiPriority w:val="2"/>
    <w:semiHidden/>
    <w:unhideWhenUsed/>
    <w:qFormat/>
    <w:pPr>
      <w:numPr>
        <w:ilvl w:val="8"/>
        <w:numId w:val="24"/>
      </w:numPr>
      <w:outlineLvl w:val="8"/>
    </w:pPr>
  </w:style>
  <w:style w:type="table" w:styleId="LightGrid-Accent2">
    <w:name w:val="Light Grid Accent 2"/>
    <w:basedOn w:val="TableNormal"/>
    <w:uiPriority w:val="62"/>
    <w:semiHidden/>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semiHidden/>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semiHidden/>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semiHidden/>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DefinitionL6">
    <w:name w:val="Definition L6"/>
    <w:basedOn w:val="Normal"/>
    <w:uiPriority w:val="3"/>
    <w:semiHidden/>
    <w:unhideWhenUsed/>
    <w:qFormat/>
    <w:pPr>
      <w:numPr>
        <w:ilvl w:val="5"/>
        <w:numId w:val="45"/>
      </w:numPr>
      <w:outlineLvl w:val="5"/>
    </w:pPr>
  </w:style>
  <w:style w:type="paragraph" w:customStyle="1" w:styleId="DefinitionL7">
    <w:name w:val="Definition L7"/>
    <w:basedOn w:val="Normal"/>
    <w:uiPriority w:val="3"/>
    <w:semiHidden/>
    <w:unhideWhenUsed/>
    <w:qFormat/>
    <w:pPr>
      <w:numPr>
        <w:ilvl w:val="6"/>
        <w:numId w:val="45"/>
      </w:numPr>
      <w:outlineLvl w:val="6"/>
    </w:pPr>
  </w:style>
  <w:style w:type="table" w:styleId="LightList-Accent2">
    <w:name w:val="Light List Accent 2"/>
    <w:basedOn w:val="TableNormal"/>
    <w:uiPriority w:val="61"/>
    <w:semiHidden/>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semiHidden/>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semiHidden/>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semiHidden/>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DefinitionL8">
    <w:name w:val="Definition L8"/>
    <w:basedOn w:val="Normal"/>
    <w:uiPriority w:val="3"/>
    <w:semiHidden/>
    <w:unhideWhenUsed/>
    <w:qFormat/>
    <w:pPr>
      <w:numPr>
        <w:ilvl w:val="7"/>
        <w:numId w:val="45"/>
      </w:numPr>
      <w:outlineLvl w:val="7"/>
    </w:pPr>
  </w:style>
  <w:style w:type="paragraph" w:customStyle="1" w:styleId="DefinitionL9">
    <w:name w:val="Definition L9"/>
    <w:basedOn w:val="Normal"/>
    <w:uiPriority w:val="3"/>
    <w:semiHidden/>
    <w:unhideWhenUsed/>
    <w:qFormat/>
    <w:pPr>
      <w:numPr>
        <w:ilvl w:val="8"/>
        <w:numId w:val="45"/>
      </w:numPr>
      <w:outlineLvl w:val="8"/>
    </w:pPr>
  </w:style>
  <w:style w:type="table" w:styleId="LightShading-Accent2">
    <w:name w:val="Light Shading Accent 2"/>
    <w:basedOn w:val="TableNormal"/>
    <w:uiPriority w:val="60"/>
    <w:semiHidden/>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semiHidden/>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semiHidden/>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semiHidden/>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semiHidden/>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Level4">
    <w:name w:val="Level 4"/>
    <w:basedOn w:val="Normal"/>
    <w:uiPriority w:val="3"/>
    <w:semiHidden/>
    <w:unhideWhenUsed/>
    <w:qFormat/>
    <w:pPr>
      <w:numPr>
        <w:ilvl w:val="3"/>
        <w:numId w:val="61"/>
      </w:numPr>
      <w:outlineLvl w:val="3"/>
    </w:pPr>
  </w:style>
  <w:style w:type="table" w:styleId="MediumGrid1-Accent1">
    <w:name w:val="Medium Grid 1 Accent 1"/>
    <w:basedOn w:val="TableNormal"/>
    <w:uiPriority w:val="67"/>
    <w:semiHidden/>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semiHidden/>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semiHidden/>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semiHidden/>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semiHidden/>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semiHidden/>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paragraph" w:customStyle="1" w:styleId="Level5">
    <w:name w:val="Level 5"/>
    <w:basedOn w:val="Normal"/>
    <w:uiPriority w:val="3"/>
    <w:semiHidden/>
    <w:unhideWhenUsed/>
    <w:qFormat/>
    <w:pPr>
      <w:numPr>
        <w:ilvl w:val="4"/>
        <w:numId w:val="61"/>
      </w:numPr>
      <w:outlineLvl w:val="4"/>
    </w:pPr>
  </w:style>
  <w:style w:type="table" w:styleId="MediumGrid2-Accent1">
    <w:name w:val="Medium Grid 2 Accent 1"/>
    <w:basedOn w:val="TableNormal"/>
    <w:uiPriority w:val="68"/>
    <w:semiHidden/>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semiHidden/>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semiHidden/>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semiHidden/>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semiHidden/>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semiHidden/>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customStyle="1" w:styleId="Level6">
    <w:name w:val="Level 6"/>
    <w:basedOn w:val="Normal"/>
    <w:uiPriority w:val="3"/>
    <w:semiHidden/>
    <w:unhideWhenUsed/>
    <w:qFormat/>
    <w:pPr>
      <w:numPr>
        <w:ilvl w:val="5"/>
        <w:numId w:val="61"/>
      </w:numPr>
      <w:outlineLvl w:val="5"/>
    </w:pPr>
  </w:style>
  <w:style w:type="table" w:styleId="MediumGrid3-Accent1">
    <w:name w:val="Medium Grid 3 Accent 1"/>
    <w:basedOn w:val="TableNormal"/>
    <w:uiPriority w:val="69"/>
    <w:semiHidden/>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semiHidden/>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semiHidden/>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semiHidden/>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semiHidden/>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semiHidden/>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Level7">
    <w:name w:val="Level 7"/>
    <w:basedOn w:val="Normal"/>
    <w:uiPriority w:val="3"/>
    <w:semiHidden/>
    <w:unhideWhenUsed/>
    <w:qFormat/>
    <w:pPr>
      <w:numPr>
        <w:ilvl w:val="6"/>
        <w:numId w:val="61"/>
      </w:numPr>
      <w:outlineLvl w:val="6"/>
    </w:pPr>
  </w:style>
  <w:style w:type="paragraph" w:customStyle="1" w:styleId="Level8">
    <w:name w:val="Level 8"/>
    <w:basedOn w:val="Normal"/>
    <w:uiPriority w:val="3"/>
    <w:semiHidden/>
    <w:unhideWhenUsed/>
    <w:qFormat/>
    <w:pPr>
      <w:numPr>
        <w:ilvl w:val="7"/>
        <w:numId w:val="61"/>
      </w:numPr>
      <w:outlineLvl w:val="7"/>
    </w:pPr>
  </w:style>
  <w:style w:type="table" w:styleId="MediumList1-Accent2">
    <w:name w:val="Medium List 1 Accent 2"/>
    <w:basedOn w:val="TableNormal"/>
    <w:uiPriority w:val="65"/>
    <w:semiHidden/>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semiHidden/>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semiHidden/>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semiHidden/>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semiHidden/>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paragraph" w:customStyle="1" w:styleId="Level9">
    <w:name w:val="Level 9"/>
    <w:basedOn w:val="Normal"/>
    <w:uiPriority w:val="3"/>
    <w:semiHidden/>
    <w:unhideWhenUsed/>
    <w:qFormat/>
    <w:pPr>
      <w:numPr>
        <w:ilvl w:val="8"/>
        <w:numId w:val="61"/>
      </w:numPr>
      <w:outlineLvl w:val="8"/>
    </w:pPr>
  </w:style>
  <w:style w:type="table" w:styleId="MediumList2-Accent1">
    <w:name w:val="Medium List 2 Accent 1"/>
    <w:basedOn w:val="TableNormal"/>
    <w:uiPriority w:val="66"/>
    <w:semiHidden/>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themeColor="accent3"/>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themeColor="accent4"/>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themeColor="accent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customStyle="1" w:styleId="PartL2">
    <w:name w:val="Part L2"/>
    <w:basedOn w:val="Normal"/>
    <w:uiPriority w:val="3"/>
    <w:semiHidden/>
    <w:unhideWhenUsed/>
    <w:qFormat/>
    <w:pPr>
      <w:numPr>
        <w:ilvl w:val="1"/>
        <w:numId w:val="25"/>
      </w:numPr>
      <w:outlineLvl w:val="1"/>
    </w:pPr>
  </w:style>
  <w:style w:type="paragraph" w:customStyle="1" w:styleId="PartL3">
    <w:name w:val="Part L3"/>
    <w:basedOn w:val="Normal"/>
    <w:uiPriority w:val="3"/>
    <w:semiHidden/>
    <w:unhideWhenUsed/>
    <w:qFormat/>
    <w:pPr>
      <w:numPr>
        <w:ilvl w:val="2"/>
        <w:numId w:val="25"/>
      </w:numPr>
      <w:outlineLvl w:val="2"/>
    </w:pPr>
  </w:style>
  <w:style w:type="table" w:styleId="MediumShading1-Accent2">
    <w:name w:val="Medium Shading 1 Accent 2"/>
    <w:basedOn w:val="TableNormal"/>
    <w:uiPriority w:val="63"/>
    <w:semiHidden/>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PartL4">
    <w:name w:val="Part L4"/>
    <w:basedOn w:val="Normal"/>
    <w:uiPriority w:val="3"/>
    <w:semiHidden/>
    <w:unhideWhenUsed/>
    <w:qFormat/>
    <w:pPr>
      <w:numPr>
        <w:ilvl w:val="3"/>
        <w:numId w:val="25"/>
      </w:numPr>
      <w:outlineLvl w:val="3"/>
    </w:pPr>
  </w:style>
  <w:style w:type="paragraph" w:customStyle="1" w:styleId="PartL8">
    <w:name w:val="Part L8"/>
    <w:basedOn w:val="Normal"/>
    <w:uiPriority w:val="3"/>
    <w:semiHidden/>
    <w:unhideWhenUsed/>
    <w:qFormat/>
    <w:pPr>
      <w:numPr>
        <w:ilvl w:val="7"/>
        <w:numId w:val="25"/>
      </w:numPr>
      <w:outlineLvl w:val="7"/>
    </w:pPr>
  </w:style>
  <w:style w:type="table" w:styleId="MediumShading2-Accent2">
    <w:name w:val="Medium Shading 2 Accent 2"/>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semiHidden/>
    <w:qFormat/>
    <w:rPr>
      <w:i/>
      <w:iCs/>
      <w:color w:val="000000"/>
      <w:szCs w:val="28"/>
    </w:rPr>
  </w:style>
  <w:style w:type="character" w:customStyle="1" w:styleId="QuoteChar">
    <w:name w:val="Quote Char"/>
    <w:basedOn w:val="DefaultParagraphFont"/>
    <w:link w:val="Quote"/>
    <w:uiPriority w:val="29"/>
    <w:rPr>
      <w:rFonts w:cs="Angsana New"/>
      <w:i/>
      <w:iCs/>
      <w:color w:val="000000"/>
      <w:sz w:val="22"/>
      <w:szCs w:val="28"/>
      <w:lang w:eastAsia="zh-CN" w:bidi="th-TH"/>
    </w:rPr>
  </w:style>
  <w:style w:type="character" w:styleId="SubtleEmphasis">
    <w:name w:val="Subtle Emphasis"/>
    <w:basedOn w:val="DefaultParagraphFont"/>
    <w:uiPriority w:val="19"/>
    <w:semiHidden/>
    <w:qFormat/>
    <w:rPr>
      <w:i/>
      <w:iCs/>
      <w:color w:val="808080"/>
    </w:rPr>
  </w:style>
  <w:style w:type="character" w:styleId="SubtleReference">
    <w:name w:val="Subtle Reference"/>
    <w:basedOn w:val="DefaultParagraphFont"/>
    <w:uiPriority w:val="31"/>
    <w:semiHidden/>
    <w:qFormat/>
    <w:rPr>
      <w:smallCaps/>
      <w:color w:val="C0504D"/>
      <w:u w:val="single"/>
    </w:rPr>
  </w:style>
  <w:style w:type="paragraph" w:styleId="TOCHeading">
    <w:name w:val="TOC Heading"/>
    <w:basedOn w:val="Heading1"/>
    <w:next w:val="Normal"/>
    <w:uiPriority w:val="39"/>
    <w:semiHidden/>
    <w:unhideWhenUsed/>
    <w:qFormat/>
    <w:pPr>
      <w:numPr>
        <w:numId w:val="0"/>
      </w:numPr>
      <w:outlineLvl w:val="9"/>
    </w:pPr>
    <w:rPr>
      <w:rFonts w:ascii="Cambria" w:hAnsi="Cambria"/>
      <w:kern w:val="32"/>
      <w:sz w:val="32"/>
      <w:szCs w:val="40"/>
    </w:rPr>
  </w:style>
  <w:style w:type="paragraph" w:customStyle="1" w:styleId="AnnexureL1">
    <w:name w:val="Annexure L1"/>
    <w:basedOn w:val="Normal"/>
    <w:next w:val="Normal"/>
    <w:pPr>
      <w:numPr>
        <w:numId w:val="43"/>
      </w:numPr>
      <w:pBdr>
        <w:bottom w:val="single" w:sz="6" w:space="1" w:color="auto"/>
      </w:pBdr>
      <w:spacing w:before="140" w:after="480" w:line="480" w:lineRule="exact"/>
      <w:outlineLvl w:val="0"/>
    </w:pPr>
    <w:rPr>
      <w:rFonts w:ascii="Arial" w:hAnsi="Arial"/>
      <w:spacing w:val="-10"/>
      <w:w w:val="95"/>
      <w:sz w:val="48"/>
      <w:szCs w:val="48"/>
    </w:rPr>
  </w:style>
  <w:style w:type="paragraph" w:customStyle="1" w:styleId="AnnexureL2">
    <w:name w:val="Annexure L2"/>
    <w:basedOn w:val="Normal"/>
    <w:next w:val="Normal"/>
    <w:pPr>
      <w:keepNext/>
      <w:numPr>
        <w:ilvl w:val="1"/>
        <w:numId w:val="43"/>
      </w:numPr>
      <w:pBdr>
        <w:bottom w:val="single" w:sz="4" w:space="1" w:color="auto"/>
      </w:pBdr>
      <w:spacing w:before="280"/>
      <w:outlineLvl w:val="1"/>
    </w:pPr>
    <w:rPr>
      <w:rFonts w:ascii="Arial" w:hAnsi="Arial"/>
      <w:spacing w:val="-10"/>
      <w:w w:val="95"/>
      <w:sz w:val="32"/>
      <w:szCs w:val="32"/>
    </w:rPr>
  </w:style>
  <w:style w:type="paragraph" w:customStyle="1" w:styleId="AnnexureL3">
    <w:name w:val="Annexure L3"/>
    <w:basedOn w:val="Normal"/>
    <w:next w:val="Normal"/>
    <w:pPr>
      <w:keepNext/>
      <w:numPr>
        <w:ilvl w:val="2"/>
        <w:numId w:val="43"/>
      </w:numPr>
      <w:spacing w:before="60" w:after="60"/>
      <w:outlineLvl w:val="2"/>
    </w:pPr>
    <w:rPr>
      <w:rFonts w:ascii="Arial Bold" w:hAnsi="Arial Bold"/>
      <w:b/>
      <w:bCs/>
      <w:w w:val="95"/>
      <w:sz w:val="24"/>
      <w:szCs w:val="24"/>
    </w:rPr>
  </w:style>
  <w:style w:type="paragraph" w:customStyle="1" w:styleId="AnnexureL4">
    <w:name w:val="Annexure L4"/>
    <w:basedOn w:val="Normal"/>
    <w:next w:val="Normal"/>
    <w:pPr>
      <w:numPr>
        <w:ilvl w:val="3"/>
        <w:numId w:val="43"/>
      </w:numPr>
      <w:outlineLvl w:val="3"/>
    </w:pPr>
  </w:style>
  <w:style w:type="paragraph" w:customStyle="1" w:styleId="AnnexureL6">
    <w:name w:val="Annexure L6"/>
    <w:basedOn w:val="Normal"/>
    <w:next w:val="Normal"/>
    <w:pPr>
      <w:numPr>
        <w:ilvl w:val="5"/>
        <w:numId w:val="43"/>
      </w:numPr>
      <w:outlineLvl w:val="5"/>
    </w:pPr>
  </w:style>
  <w:style w:type="paragraph" w:customStyle="1" w:styleId="AnnexureL5">
    <w:name w:val="Annexure L5"/>
    <w:basedOn w:val="Normal"/>
    <w:next w:val="Normal"/>
    <w:pPr>
      <w:numPr>
        <w:ilvl w:val="4"/>
        <w:numId w:val="43"/>
      </w:numPr>
      <w:outlineLvl w:val="4"/>
    </w:pPr>
  </w:style>
  <w:style w:type="numbering" w:customStyle="1" w:styleId="Annexure">
    <w:name w:val="Annexure"/>
    <w:uiPriority w:val="99"/>
    <w:pPr>
      <w:numPr>
        <w:numId w:val="42"/>
      </w:numPr>
    </w:pPr>
  </w:style>
  <w:style w:type="paragraph" w:customStyle="1" w:styleId="PartL9">
    <w:name w:val="Part L9"/>
    <w:basedOn w:val="Normal"/>
    <w:uiPriority w:val="3"/>
    <w:semiHidden/>
    <w:unhideWhenUsed/>
    <w:qFormat/>
    <w:pPr>
      <w:numPr>
        <w:ilvl w:val="8"/>
        <w:numId w:val="25"/>
      </w:numPr>
      <w:outlineLvl w:val="8"/>
    </w:pPr>
  </w:style>
  <w:style w:type="paragraph" w:customStyle="1" w:styleId="ScheduleL7">
    <w:name w:val="Schedule L7"/>
    <w:basedOn w:val="Normal"/>
    <w:uiPriority w:val="3"/>
    <w:qFormat/>
    <w:pPr>
      <w:numPr>
        <w:ilvl w:val="6"/>
        <w:numId w:val="94"/>
      </w:numPr>
      <w:outlineLvl w:val="6"/>
    </w:pPr>
  </w:style>
  <w:style w:type="paragraph" w:customStyle="1" w:styleId="ScheduleL8">
    <w:name w:val="Schedule L8"/>
    <w:basedOn w:val="Normal"/>
    <w:uiPriority w:val="3"/>
    <w:semiHidden/>
    <w:unhideWhenUsed/>
    <w:qFormat/>
    <w:pPr>
      <w:numPr>
        <w:ilvl w:val="7"/>
        <w:numId w:val="94"/>
      </w:numPr>
      <w:outlineLvl w:val="7"/>
    </w:pPr>
  </w:style>
  <w:style w:type="character" w:customStyle="1" w:styleId="MELegal2Char">
    <w:name w:val="ME Legal 2 Char"/>
    <w:basedOn w:val="DefaultParagraphFont"/>
    <w:link w:val="MELegal2"/>
    <w:rPr>
      <w:rFonts w:ascii="Arial Bold" w:hAnsi="Arial Bold" w:cs="Angsana New"/>
      <w:b/>
      <w:w w:val="95"/>
      <w:sz w:val="24"/>
      <w:szCs w:val="22"/>
      <w:lang w:eastAsia="zh-CN" w:bidi="th-TH"/>
    </w:rPr>
  </w:style>
  <w:style w:type="paragraph" w:customStyle="1" w:styleId="PartL5">
    <w:name w:val="Part L5"/>
    <w:basedOn w:val="Normal"/>
    <w:uiPriority w:val="3"/>
    <w:unhideWhenUsed/>
    <w:qFormat/>
    <w:pPr>
      <w:numPr>
        <w:ilvl w:val="4"/>
        <w:numId w:val="25"/>
      </w:numPr>
      <w:outlineLvl w:val="4"/>
    </w:pPr>
  </w:style>
  <w:style w:type="paragraph" w:customStyle="1" w:styleId="PartL6">
    <w:name w:val="Part L6"/>
    <w:basedOn w:val="Normal"/>
    <w:uiPriority w:val="3"/>
    <w:unhideWhenUsed/>
    <w:qFormat/>
    <w:pPr>
      <w:numPr>
        <w:ilvl w:val="5"/>
        <w:numId w:val="25"/>
      </w:numPr>
      <w:outlineLvl w:val="5"/>
    </w:pPr>
  </w:style>
  <w:style w:type="paragraph" w:customStyle="1" w:styleId="PartL7">
    <w:name w:val="Part L7"/>
    <w:basedOn w:val="Normal"/>
    <w:uiPriority w:val="3"/>
    <w:unhideWhenUsed/>
    <w:qFormat/>
    <w:pPr>
      <w:numPr>
        <w:ilvl w:val="6"/>
        <w:numId w:val="25"/>
      </w:numPr>
      <w:outlineLvl w:val="6"/>
    </w:pPr>
  </w:style>
  <w:style w:type="paragraph" w:customStyle="1" w:styleId="ScheduleL9">
    <w:name w:val="Schedule L9"/>
    <w:basedOn w:val="Normal"/>
    <w:uiPriority w:val="3"/>
    <w:semiHidden/>
    <w:unhideWhenUsed/>
    <w:qFormat/>
    <w:pPr>
      <w:numPr>
        <w:ilvl w:val="8"/>
        <w:numId w:val="94"/>
      </w:numPr>
      <w:outlineLvl w:val="8"/>
    </w:pPr>
  </w:style>
  <w:style w:type="paragraph" w:customStyle="1" w:styleId="WarrantyL6">
    <w:name w:val="WarrantyL6"/>
    <w:basedOn w:val="Normal"/>
    <w:uiPriority w:val="3"/>
    <w:semiHidden/>
    <w:unhideWhenUsed/>
    <w:qFormat/>
    <w:pPr>
      <w:numPr>
        <w:ilvl w:val="5"/>
        <w:numId w:val="26"/>
      </w:numPr>
      <w:outlineLvl w:val="5"/>
    </w:pPr>
  </w:style>
  <w:style w:type="paragraph" w:customStyle="1" w:styleId="WarrantyL7">
    <w:name w:val="WarrantyL7"/>
    <w:basedOn w:val="Normal"/>
    <w:uiPriority w:val="3"/>
    <w:semiHidden/>
    <w:unhideWhenUsed/>
    <w:qFormat/>
    <w:pPr>
      <w:numPr>
        <w:ilvl w:val="6"/>
        <w:numId w:val="26"/>
      </w:numPr>
      <w:outlineLvl w:val="6"/>
    </w:pPr>
  </w:style>
  <w:style w:type="paragraph" w:customStyle="1" w:styleId="WarrantyL8">
    <w:name w:val="WarrantyL8"/>
    <w:basedOn w:val="Normal"/>
    <w:uiPriority w:val="3"/>
    <w:semiHidden/>
    <w:unhideWhenUsed/>
    <w:qFormat/>
    <w:pPr>
      <w:numPr>
        <w:ilvl w:val="7"/>
        <w:numId w:val="26"/>
      </w:numPr>
      <w:outlineLvl w:val="7"/>
    </w:pPr>
  </w:style>
  <w:style w:type="paragraph" w:customStyle="1" w:styleId="WarrantyL9">
    <w:name w:val="WarrantyL9"/>
    <w:basedOn w:val="Normal"/>
    <w:uiPriority w:val="3"/>
    <w:semiHidden/>
    <w:unhideWhenUsed/>
    <w:qFormat/>
    <w:pPr>
      <w:numPr>
        <w:ilvl w:val="8"/>
        <w:numId w:val="26"/>
      </w:numPr>
      <w:outlineLvl w:val="8"/>
    </w:pPr>
  </w:style>
  <w:style w:type="paragraph" w:customStyle="1" w:styleId="ItemL5">
    <w:name w:val="Item L5"/>
    <w:basedOn w:val="Normal"/>
    <w:uiPriority w:val="3"/>
    <w:semiHidden/>
    <w:unhideWhenUsed/>
    <w:qFormat/>
    <w:pPr>
      <w:numPr>
        <w:ilvl w:val="4"/>
        <w:numId w:val="91"/>
      </w:numPr>
      <w:spacing w:before="60" w:after="60"/>
      <w:outlineLvl w:val="4"/>
    </w:pPr>
  </w:style>
  <w:style w:type="paragraph" w:customStyle="1" w:styleId="ItemL6">
    <w:name w:val="Item L6"/>
    <w:basedOn w:val="Normal"/>
    <w:uiPriority w:val="3"/>
    <w:semiHidden/>
    <w:unhideWhenUsed/>
    <w:qFormat/>
    <w:pPr>
      <w:numPr>
        <w:ilvl w:val="5"/>
        <w:numId w:val="91"/>
      </w:numPr>
      <w:spacing w:before="60" w:after="60"/>
      <w:outlineLvl w:val="5"/>
    </w:pPr>
  </w:style>
  <w:style w:type="paragraph" w:customStyle="1" w:styleId="MENoIndent1">
    <w:name w:val="ME NoIndent 1"/>
    <w:basedOn w:val="Normal"/>
    <w:next w:val="Normal"/>
    <w:pPr>
      <w:numPr>
        <w:ilvl w:val="3"/>
        <w:numId w:val="50"/>
      </w:numPr>
      <w:tabs>
        <w:tab w:val="clear" w:pos="2552"/>
      </w:tabs>
      <w:spacing w:after="0" w:line="240" w:lineRule="auto"/>
      <w:ind w:left="0" w:firstLine="0"/>
    </w:pPr>
    <w:rPr>
      <w:rFonts w:cs="Times New Roman"/>
      <w:sz w:val="24"/>
      <w:szCs w:val="20"/>
      <w:lang w:bidi="ar-SA"/>
    </w:rPr>
  </w:style>
  <w:style w:type="paragraph" w:customStyle="1" w:styleId="MENoIndent2">
    <w:name w:val="ME NoIndent 2"/>
    <w:basedOn w:val="MENoIndent1"/>
    <w:next w:val="Normal"/>
    <w:pPr>
      <w:numPr>
        <w:ilvl w:val="4"/>
      </w:numPr>
      <w:tabs>
        <w:tab w:val="clear" w:pos="3402"/>
        <w:tab w:val="num" w:pos="851"/>
      </w:tabs>
      <w:ind w:left="851" w:hanging="851"/>
    </w:pPr>
  </w:style>
  <w:style w:type="paragraph" w:customStyle="1" w:styleId="MENoIndent3">
    <w:name w:val="ME NoIndent 3"/>
    <w:basedOn w:val="Normal"/>
    <w:next w:val="Normal"/>
    <w:pPr>
      <w:numPr>
        <w:ilvl w:val="5"/>
        <w:numId w:val="50"/>
      </w:numPr>
      <w:tabs>
        <w:tab w:val="clear" w:pos="4253"/>
      </w:tabs>
      <w:spacing w:after="0" w:line="240" w:lineRule="auto"/>
      <w:ind w:left="0" w:firstLine="0"/>
    </w:pPr>
    <w:rPr>
      <w:rFonts w:cs="Times New Roman"/>
      <w:sz w:val="24"/>
      <w:szCs w:val="20"/>
      <w:lang w:bidi="ar-SA"/>
    </w:rPr>
  </w:style>
  <w:style w:type="paragraph" w:customStyle="1" w:styleId="MENoIndent4">
    <w:name w:val="ME NoIndent 4"/>
    <w:basedOn w:val="Normal"/>
    <w:next w:val="Normal"/>
    <w:pPr>
      <w:numPr>
        <w:ilvl w:val="6"/>
        <w:numId w:val="50"/>
      </w:numPr>
      <w:tabs>
        <w:tab w:val="clear" w:pos="5103"/>
      </w:tabs>
      <w:spacing w:after="0" w:line="240" w:lineRule="auto"/>
      <w:ind w:left="0" w:firstLine="0"/>
    </w:pPr>
    <w:rPr>
      <w:rFonts w:cs="Times New Roman"/>
      <w:sz w:val="24"/>
      <w:szCs w:val="20"/>
      <w:lang w:bidi="ar-SA"/>
    </w:rPr>
  </w:style>
  <w:style w:type="paragraph" w:customStyle="1" w:styleId="MENoIndent5">
    <w:name w:val="ME NoIndent 5"/>
    <w:basedOn w:val="Normal"/>
    <w:next w:val="Normal"/>
    <w:pPr>
      <w:numPr>
        <w:numId w:val="51"/>
      </w:numPr>
      <w:spacing w:after="0" w:line="240" w:lineRule="auto"/>
    </w:pPr>
    <w:rPr>
      <w:rFonts w:cs="Times New Roman"/>
      <w:sz w:val="24"/>
      <w:szCs w:val="20"/>
      <w:lang w:bidi="ar-SA"/>
    </w:rPr>
  </w:style>
  <w:style w:type="paragraph" w:customStyle="1" w:styleId="MENoIndent6">
    <w:name w:val="ME NoIndent 6"/>
    <w:basedOn w:val="Normal"/>
    <w:next w:val="Normal"/>
    <w:pPr>
      <w:numPr>
        <w:ilvl w:val="1"/>
        <w:numId w:val="51"/>
      </w:numPr>
      <w:spacing w:after="0" w:line="240" w:lineRule="auto"/>
    </w:pPr>
    <w:rPr>
      <w:rFonts w:cs="Times New Roman"/>
      <w:sz w:val="24"/>
      <w:szCs w:val="20"/>
      <w:lang w:bidi="ar-SA"/>
    </w:rPr>
  </w:style>
  <w:style w:type="paragraph" w:customStyle="1" w:styleId="Bullet2">
    <w:name w:val="Bullet 2"/>
    <w:basedOn w:val="Normal"/>
    <w:pPr>
      <w:tabs>
        <w:tab w:val="num" w:pos="1418"/>
      </w:tabs>
      <w:spacing w:before="100" w:after="0" w:line="312" w:lineRule="auto"/>
      <w:ind w:left="1418" w:hanging="709"/>
    </w:pPr>
    <w:rPr>
      <w:rFonts w:ascii="Arial" w:hAnsi="Arial" w:cs="Times New Roman"/>
      <w:sz w:val="20"/>
      <w:szCs w:val="20"/>
      <w:lang w:bidi="ar-SA"/>
    </w:rPr>
  </w:style>
  <w:style w:type="paragraph" w:customStyle="1" w:styleId="ItemL7">
    <w:name w:val="Item L7"/>
    <w:basedOn w:val="Normal"/>
    <w:uiPriority w:val="3"/>
    <w:semiHidden/>
    <w:unhideWhenUsed/>
    <w:qFormat/>
    <w:pPr>
      <w:numPr>
        <w:ilvl w:val="6"/>
        <w:numId w:val="91"/>
      </w:numPr>
      <w:spacing w:before="60" w:after="60"/>
      <w:outlineLvl w:val="6"/>
    </w:pPr>
  </w:style>
  <w:style w:type="paragraph" w:customStyle="1" w:styleId="ItemL8">
    <w:name w:val="Item L8"/>
    <w:basedOn w:val="Normal"/>
    <w:uiPriority w:val="3"/>
    <w:semiHidden/>
    <w:unhideWhenUsed/>
    <w:qFormat/>
    <w:pPr>
      <w:numPr>
        <w:ilvl w:val="7"/>
        <w:numId w:val="91"/>
      </w:numPr>
      <w:spacing w:before="60" w:after="60"/>
      <w:outlineLvl w:val="7"/>
    </w:pPr>
  </w:style>
  <w:style w:type="paragraph" w:customStyle="1" w:styleId="Bullet1">
    <w:name w:val="Bullet 1"/>
    <w:basedOn w:val="Normal"/>
    <w:pPr>
      <w:numPr>
        <w:numId w:val="52"/>
      </w:numPr>
      <w:tabs>
        <w:tab w:val="clear" w:pos="1418"/>
        <w:tab w:val="num" w:pos="709"/>
      </w:tabs>
      <w:spacing w:before="100" w:after="0" w:line="312" w:lineRule="auto"/>
      <w:ind w:left="709"/>
    </w:pPr>
    <w:rPr>
      <w:rFonts w:ascii="Arial" w:hAnsi="Arial" w:cs="Times New Roman"/>
      <w:sz w:val="20"/>
      <w:szCs w:val="20"/>
      <w:lang w:eastAsia="en-US" w:bidi="ar-SA"/>
    </w:rPr>
  </w:style>
  <w:style w:type="paragraph" w:customStyle="1" w:styleId="Bullet3">
    <w:name w:val="Bullet 3"/>
    <w:basedOn w:val="Normal"/>
    <w:pPr>
      <w:numPr>
        <w:numId w:val="54"/>
      </w:numPr>
      <w:spacing w:before="100" w:after="0" w:line="312" w:lineRule="auto"/>
    </w:pPr>
    <w:rPr>
      <w:rFonts w:ascii="Arial" w:hAnsi="Arial" w:cs="Times New Roman"/>
      <w:sz w:val="20"/>
      <w:szCs w:val="20"/>
      <w:lang w:eastAsia="en-US" w:bidi="ar-SA"/>
    </w:rPr>
  </w:style>
  <w:style w:type="paragraph" w:customStyle="1" w:styleId="ItemL9">
    <w:name w:val="Item L9"/>
    <w:basedOn w:val="Normal"/>
    <w:uiPriority w:val="3"/>
    <w:semiHidden/>
    <w:unhideWhenUsed/>
    <w:qFormat/>
    <w:pPr>
      <w:numPr>
        <w:ilvl w:val="8"/>
        <w:numId w:val="91"/>
      </w:numPr>
      <w:spacing w:before="60" w:after="60"/>
    </w:pPr>
  </w:style>
  <w:style w:type="paragraph" w:customStyle="1" w:styleId="ItemText">
    <w:name w:val="Item Text"/>
    <w:basedOn w:val="Normal"/>
    <w:uiPriority w:val="3"/>
    <w:qFormat/>
    <w:pPr>
      <w:spacing w:before="60" w:after="60"/>
    </w:pPr>
  </w:style>
  <w:style w:type="paragraph" w:customStyle="1" w:styleId="DefinitionL4">
    <w:name w:val="Definition L4"/>
    <w:basedOn w:val="Normal"/>
    <w:uiPriority w:val="3"/>
    <w:qFormat/>
    <w:pPr>
      <w:numPr>
        <w:ilvl w:val="3"/>
        <w:numId w:val="45"/>
      </w:numPr>
      <w:outlineLvl w:val="3"/>
    </w:pPr>
  </w:style>
  <w:style w:type="paragraph" w:customStyle="1" w:styleId="DefinitionL5">
    <w:name w:val="Definition L5"/>
    <w:basedOn w:val="Normal"/>
    <w:uiPriority w:val="3"/>
    <w:qFormat/>
    <w:pPr>
      <w:numPr>
        <w:ilvl w:val="4"/>
        <w:numId w:val="45"/>
      </w:numPr>
      <w:outlineLvl w:val="4"/>
    </w:pPr>
  </w:style>
  <w:style w:type="table" w:customStyle="1" w:styleId="ColorfulGrid1">
    <w:name w:val="Colorful Grid1"/>
    <w:basedOn w:val="TableNormal"/>
    <w:uiPriority w:val="73"/>
    <w:semiHidden/>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
    <w:name w:val="Colorful List1"/>
    <w:basedOn w:val="TableNormal"/>
    <w:uiPriority w:val="72"/>
    <w:semiHidden/>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
    <w:name w:val="Colorful Shading1"/>
    <w:basedOn w:val="TableNormal"/>
    <w:uiPriority w:val="71"/>
    <w:semiHidden/>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70"/>
    <w:semiHidden/>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
    <w:name w:val="Light Grid1"/>
    <w:basedOn w:val="TableNormal"/>
    <w:uiPriority w:val="62"/>
    <w:semiHidden/>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semiHidden/>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
    <w:name w:val="Light List1"/>
    <w:basedOn w:val="TableNormal"/>
    <w:uiPriority w:val="61"/>
    <w:semiHidden/>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semiHidden/>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
    <w:name w:val="Light Shading1"/>
    <w:basedOn w:val="TableNormal"/>
    <w:uiPriority w:val="60"/>
    <w:semiHidden/>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semiHidden/>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
    <w:name w:val="Medium Grid 11"/>
    <w:basedOn w:val="TableNormal"/>
    <w:uiPriority w:val="67"/>
    <w:semiHidden/>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
    <w:name w:val="Medium Grid 21"/>
    <w:basedOn w:val="TableNormal"/>
    <w:uiPriority w:val="68"/>
    <w:semiHidden/>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semiHidden/>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
    <w:name w:val="Medium List 11"/>
    <w:basedOn w:val="TableNormal"/>
    <w:uiPriority w:val="65"/>
    <w:semiHidden/>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semiHidden/>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
    <w:name w:val="Medium List 21"/>
    <w:basedOn w:val="TableNormal"/>
    <w:uiPriority w:val="66"/>
    <w:semiHidden/>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semiHidden/>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semiHidden/>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uiPriority="2"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6"/>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2"/>
    <w:qFormat/>
    <w:pPr>
      <w:spacing w:after="140" w:line="280" w:lineRule="atLeast"/>
    </w:pPr>
    <w:rPr>
      <w:rFonts w:cs="Angsana New"/>
      <w:sz w:val="22"/>
      <w:szCs w:val="22"/>
      <w:lang w:eastAsia="zh-CN" w:bidi="th-TH"/>
    </w:rPr>
  </w:style>
  <w:style w:type="paragraph" w:styleId="Heading1">
    <w:name w:val="heading 1"/>
    <w:basedOn w:val="Normal"/>
    <w:next w:val="Normal"/>
    <w:semiHidden/>
    <w:qFormat/>
    <w:pPr>
      <w:keepNext/>
      <w:numPr>
        <w:numId w:val="85"/>
      </w:numPr>
      <w:spacing w:before="240" w:after="60"/>
      <w:outlineLvl w:val="0"/>
    </w:pPr>
    <w:rPr>
      <w:rFonts w:ascii="Arial" w:hAnsi="Arial"/>
      <w:b/>
      <w:bCs/>
      <w:kern w:val="28"/>
      <w:sz w:val="28"/>
      <w:szCs w:val="28"/>
    </w:rPr>
  </w:style>
  <w:style w:type="paragraph" w:styleId="Heading2">
    <w:name w:val="heading 2"/>
    <w:basedOn w:val="Normal"/>
    <w:next w:val="Normal"/>
    <w:semiHidden/>
    <w:qFormat/>
    <w:pPr>
      <w:keepNext/>
      <w:numPr>
        <w:ilvl w:val="1"/>
        <w:numId w:val="85"/>
      </w:numPr>
      <w:spacing w:before="240" w:after="60"/>
      <w:outlineLvl w:val="1"/>
    </w:pPr>
    <w:rPr>
      <w:rFonts w:ascii="Arial" w:hAnsi="Arial"/>
      <w:b/>
      <w:bCs/>
      <w:i/>
      <w:iCs/>
    </w:rPr>
  </w:style>
  <w:style w:type="paragraph" w:styleId="Heading3">
    <w:name w:val="heading 3"/>
    <w:basedOn w:val="Normal"/>
    <w:next w:val="Normal"/>
    <w:semiHidden/>
    <w:qFormat/>
    <w:pPr>
      <w:keepNext/>
      <w:numPr>
        <w:ilvl w:val="2"/>
        <w:numId w:val="85"/>
      </w:numPr>
      <w:spacing w:before="240" w:after="60"/>
      <w:outlineLvl w:val="2"/>
    </w:pPr>
    <w:rPr>
      <w:rFonts w:ascii="Arial" w:hAnsi="Arial"/>
    </w:rPr>
  </w:style>
  <w:style w:type="paragraph" w:styleId="Heading4">
    <w:name w:val="heading 4"/>
    <w:basedOn w:val="Normal"/>
    <w:next w:val="Normal"/>
    <w:semiHidden/>
    <w:qFormat/>
    <w:pPr>
      <w:keepNext/>
      <w:numPr>
        <w:ilvl w:val="3"/>
        <w:numId w:val="85"/>
      </w:numPr>
      <w:spacing w:before="240" w:after="60"/>
      <w:outlineLvl w:val="3"/>
    </w:pPr>
    <w:rPr>
      <w:rFonts w:ascii="Arial" w:hAnsi="Arial"/>
      <w:b/>
      <w:bCs/>
    </w:rPr>
  </w:style>
  <w:style w:type="paragraph" w:styleId="Heading5">
    <w:name w:val="heading 5"/>
    <w:basedOn w:val="Normal"/>
    <w:next w:val="Normal"/>
    <w:semiHidden/>
    <w:qFormat/>
    <w:pPr>
      <w:numPr>
        <w:ilvl w:val="4"/>
        <w:numId w:val="85"/>
      </w:numPr>
      <w:spacing w:before="240" w:after="60"/>
      <w:outlineLvl w:val="4"/>
    </w:pPr>
  </w:style>
  <w:style w:type="paragraph" w:styleId="Heading6">
    <w:name w:val="heading 6"/>
    <w:basedOn w:val="Normal"/>
    <w:next w:val="Normal"/>
    <w:semiHidden/>
    <w:qFormat/>
    <w:pPr>
      <w:numPr>
        <w:ilvl w:val="5"/>
        <w:numId w:val="85"/>
      </w:numPr>
      <w:spacing w:before="240" w:after="60"/>
      <w:outlineLvl w:val="5"/>
    </w:pPr>
    <w:rPr>
      <w:i/>
      <w:iCs/>
    </w:rPr>
  </w:style>
  <w:style w:type="paragraph" w:styleId="Heading7">
    <w:name w:val="heading 7"/>
    <w:basedOn w:val="Normal"/>
    <w:next w:val="Normal"/>
    <w:semiHidden/>
    <w:qFormat/>
    <w:pPr>
      <w:numPr>
        <w:ilvl w:val="6"/>
        <w:numId w:val="85"/>
      </w:numPr>
      <w:spacing w:before="240" w:after="60"/>
      <w:outlineLvl w:val="6"/>
    </w:pPr>
    <w:rPr>
      <w:rFonts w:ascii="Arial" w:hAnsi="Arial"/>
      <w:sz w:val="20"/>
      <w:szCs w:val="20"/>
    </w:rPr>
  </w:style>
  <w:style w:type="paragraph" w:styleId="Heading8">
    <w:name w:val="heading 8"/>
    <w:basedOn w:val="Normal"/>
    <w:next w:val="Normal"/>
    <w:semiHidden/>
    <w:qFormat/>
    <w:pPr>
      <w:numPr>
        <w:ilvl w:val="7"/>
        <w:numId w:val="85"/>
      </w:numPr>
      <w:spacing w:before="240" w:after="60"/>
      <w:outlineLvl w:val="7"/>
    </w:pPr>
    <w:rPr>
      <w:rFonts w:ascii="Arial" w:hAnsi="Arial"/>
      <w:i/>
      <w:iCs/>
      <w:sz w:val="20"/>
      <w:szCs w:val="20"/>
    </w:rPr>
  </w:style>
  <w:style w:type="paragraph" w:styleId="Heading9">
    <w:name w:val="heading 9"/>
    <w:basedOn w:val="Normal"/>
    <w:next w:val="Normal"/>
    <w:semiHidden/>
    <w:qFormat/>
    <w:pPr>
      <w:numPr>
        <w:ilvl w:val="8"/>
        <w:numId w:val="85"/>
      </w:numPr>
      <w:spacing w:before="240" w:after="60"/>
      <w:outlineLvl w:val="8"/>
    </w:pPr>
    <w:rPr>
      <w:rFonts w:ascii="Arial" w:hAnsi="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6"/>
    <w:pPr>
      <w:spacing w:before="60" w:after="0" w:line="240" w:lineRule="auto"/>
    </w:pPr>
    <w:rPr>
      <w:rFonts w:ascii="Arial" w:hAnsi="Arial"/>
      <w:sz w:val="15"/>
      <w:szCs w:val="15"/>
    </w:rPr>
  </w:style>
  <w:style w:type="paragraph" w:customStyle="1" w:styleId="MELegal1">
    <w:name w:val="ME Legal 1"/>
    <w:basedOn w:val="Normal"/>
    <w:next w:val="Normal"/>
    <w:qFormat/>
    <w:pPr>
      <w:keepNext/>
      <w:numPr>
        <w:numId w:val="35"/>
      </w:numPr>
      <w:spacing w:before="280"/>
      <w:outlineLvl w:val="0"/>
    </w:pPr>
    <w:rPr>
      <w:rFonts w:ascii="Arial" w:hAnsi="Arial"/>
      <w:spacing w:val="-10"/>
      <w:w w:val="95"/>
      <w:sz w:val="32"/>
    </w:rPr>
  </w:style>
  <w:style w:type="paragraph" w:customStyle="1" w:styleId="MELegal2">
    <w:name w:val="ME Legal 2"/>
    <w:basedOn w:val="Normal"/>
    <w:next w:val="Normal"/>
    <w:link w:val="MELegal2Char"/>
    <w:qFormat/>
    <w:pPr>
      <w:keepNext/>
      <w:numPr>
        <w:ilvl w:val="1"/>
        <w:numId w:val="35"/>
      </w:numPr>
      <w:spacing w:before="60" w:after="60"/>
      <w:outlineLvl w:val="1"/>
    </w:pPr>
    <w:rPr>
      <w:rFonts w:ascii="Arial Bold" w:hAnsi="Arial Bold"/>
      <w:b/>
      <w:w w:val="95"/>
      <w:sz w:val="24"/>
    </w:rPr>
  </w:style>
  <w:style w:type="paragraph" w:customStyle="1" w:styleId="MELegal3">
    <w:name w:val="ME Legal 3"/>
    <w:basedOn w:val="Normal"/>
    <w:link w:val="MELegal3Char"/>
    <w:qFormat/>
    <w:pPr>
      <w:numPr>
        <w:ilvl w:val="2"/>
        <w:numId w:val="35"/>
      </w:numPr>
      <w:outlineLvl w:val="2"/>
    </w:pPr>
  </w:style>
  <w:style w:type="paragraph" w:customStyle="1" w:styleId="MELegal4">
    <w:name w:val="ME Legal 4"/>
    <w:basedOn w:val="Normal"/>
    <w:link w:val="MELegal4Char"/>
    <w:qFormat/>
    <w:pPr>
      <w:numPr>
        <w:ilvl w:val="3"/>
        <w:numId w:val="35"/>
      </w:numPr>
      <w:outlineLvl w:val="3"/>
    </w:pPr>
  </w:style>
  <w:style w:type="paragraph" w:customStyle="1" w:styleId="MELegal5">
    <w:name w:val="ME Legal 5"/>
    <w:basedOn w:val="Normal"/>
    <w:qFormat/>
    <w:pPr>
      <w:numPr>
        <w:ilvl w:val="4"/>
        <w:numId w:val="35"/>
      </w:numPr>
      <w:outlineLvl w:val="4"/>
    </w:pPr>
  </w:style>
  <w:style w:type="paragraph" w:customStyle="1" w:styleId="MELegal6">
    <w:name w:val="ME Legal 6"/>
    <w:basedOn w:val="Normal"/>
    <w:qFormat/>
    <w:pPr>
      <w:numPr>
        <w:ilvl w:val="5"/>
        <w:numId w:val="35"/>
      </w:numPr>
      <w:outlineLvl w:val="5"/>
    </w:pPr>
  </w:style>
  <w:style w:type="paragraph" w:styleId="TOC1">
    <w:name w:val="toc 1"/>
    <w:basedOn w:val="Normal"/>
    <w:uiPriority w:val="39"/>
    <w:pPr>
      <w:tabs>
        <w:tab w:val="right" w:pos="9072"/>
      </w:tabs>
      <w:spacing w:before="280" w:after="0"/>
      <w:ind w:right="567"/>
      <w:outlineLvl w:val="0"/>
    </w:pPr>
    <w:rPr>
      <w:rFonts w:ascii="Arial" w:hAnsi="Arial"/>
      <w:b/>
      <w:bCs/>
      <w:w w:val="95"/>
      <w:sz w:val="28"/>
      <w:szCs w:val="28"/>
    </w:rPr>
  </w:style>
  <w:style w:type="paragraph" w:customStyle="1" w:styleId="ItemL3">
    <w:name w:val="Item L3"/>
    <w:basedOn w:val="Normal"/>
    <w:uiPriority w:val="3"/>
    <w:qFormat/>
    <w:pPr>
      <w:numPr>
        <w:ilvl w:val="2"/>
        <w:numId w:val="91"/>
      </w:numPr>
      <w:spacing w:before="60" w:after="60"/>
      <w:outlineLvl w:val="2"/>
    </w:pPr>
  </w:style>
  <w:style w:type="paragraph" w:customStyle="1" w:styleId="ItemL4">
    <w:name w:val="Item L4"/>
    <w:basedOn w:val="Normal"/>
    <w:uiPriority w:val="3"/>
    <w:qFormat/>
    <w:pPr>
      <w:numPr>
        <w:ilvl w:val="3"/>
        <w:numId w:val="91"/>
      </w:numPr>
      <w:spacing w:before="60" w:after="60"/>
    </w:pPr>
  </w:style>
  <w:style w:type="paragraph" w:styleId="Footer">
    <w:name w:val="footer"/>
    <w:basedOn w:val="Normal"/>
    <w:pPr>
      <w:tabs>
        <w:tab w:val="right" w:pos="9356"/>
      </w:tabs>
      <w:spacing w:after="0" w:line="240" w:lineRule="auto"/>
    </w:pPr>
    <w:rPr>
      <w:rFonts w:ascii="Arial" w:hAnsi="Arial"/>
      <w:sz w:val="14"/>
      <w:szCs w:val="14"/>
    </w:rPr>
  </w:style>
  <w:style w:type="character" w:styleId="PageNumber">
    <w:name w:val="page number"/>
    <w:basedOn w:val="DefaultParagraphFont"/>
    <w:semiHidden/>
  </w:style>
  <w:style w:type="paragraph" w:customStyle="1" w:styleId="ItemL1">
    <w:name w:val="Item L1"/>
    <w:basedOn w:val="Normal"/>
    <w:uiPriority w:val="3"/>
    <w:qFormat/>
    <w:pPr>
      <w:numPr>
        <w:numId w:val="91"/>
      </w:numPr>
      <w:spacing w:before="60" w:after="60"/>
      <w:outlineLvl w:val="0"/>
    </w:pPr>
    <w:rPr>
      <w:rFonts w:ascii="Arial" w:hAnsi="Arial"/>
      <w:b/>
      <w:sz w:val="20"/>
    </w:rPr>
  </w:style>
  <w:style w:type="paragraph" w:customStyle="1" w:styleId="ScheduleL1">
    <w:name w:val="Schedule L1"/>
    <w:basedOn w:val="Normal"/>
    <w:next w:val="Normal"/>
    <w:uiPriority w:val="3"/>
    <w:qFormat/>
    <w:pPr>
      <w:numPr>
        <w:numId w:val="94"/>
      </w:numPr>
      <w:pBdr>
        <w:bottom w:val="single" w:sz="4" w:space="1" w:color="auto"/>
      </w:pBdr>
      <w:spacing w:before="140" w:after="480" w:line="480" w:lineRule="exact"/>
      <w:outlineLvl w:val="0"/>
    </w:pPr>
    <w:rPr>
      <w:rFonts w:ascii="Arial" w:hAnsi="Arial"/>
      <w:spacing w:val="-10"/>
      <w:w w:val="95"/>
      <w:sz w:val="48"/>
    </w:rPr>
  </w:style>
  <w:style w:type="paragraph" w:customStyle="1" w:styleId="ScheduleL2">
    <w:name w:val="Schedule L2"/>
    <w:basedOn w:val="Normal"/>
    <w:next w:val="Normal"/>
    <w:uiPriority w:val="3"/>
    <w:qFormat/>
    <w:pPr>
      <w:keepNext/>
      <w:numPr>
        <w:ilvl w:val="1"/>
        <w:numId w:val="94"/>
      </w:numPr>
      <w:spacing w:before="280"/>
      <w:outlineLvl w:val="1"/>
    </w:pPr>
    <w:rPr>
      <w:rFonts w:ascii="Arial" w:hAnsi="Arial"/>
      <w:spacing w:val="-10"/>
      <w:w w:val="95"/>
      <w:sz w:val="32"/>
    </w:rPr>
  </w:style>
  <w:style w:type="paragraph" w:customStyle="1" w:styleId="ScheduleL3">
    <w:name w:val="Schedule L3"/>
    <w:basedOn w:val="Normal"/>
    <w:next w:val="Normal"/>
    <w:uiPriority w:val="3"/>
    <w:qFormat/>
    <w:pPr>
      <w:keepNext/>
      <w:numPr>
        <w:ilvl w:val="2"/>
        <w:numId w:val="94"/>
      </w:numPr>
      <w:spacing w:before="60" w:after="60"/>
      <w:outlineLvl w:val="2"/>
    </w:pPr>
    <w:rPr>
      <w:rFonts w:ascii="Arial Bold" w:hAnsi="Arial Bold"/>
      <w:b/>
      <w:w w:val="95"/>
      <w:sz w:val="24"/>
    </w:rPr>
  </w:style>
  <w:style w:type="paragraph" w:customStyle="1" w:styleId="ScheduleL4">
    <w:name w:val="Schedule L4"/>
    <w:basedOn w:val="Normal"/>
    <w:uiPriority w:val="3"/>
    <w:qFormat/>
    <w:pPr>
      <w:numPr>
        <w:ilvl w:val="3"/>
        <w:numId w:val="94"/>
      </w:numPr>
      <w:outlineLvl w:val="3"/>
    </w:pPr>
  </w:style>
  <w:style w:type="paragraph" w:customStyle="1" w:styleId="ScheduleL5">
    <w:name w:val="Schedule L5"/>
    <w:basedOn w:val="Normal"/>
    <w:uiPriority w:val="3"/>
    <w:qFormat/>
    <w:pPr>
      <w:numPr>
        <w:ilvl w:val="4"/>
        <w:numId w:val="94"/>
      </w:numPr>
      <w:outlineLvl w:val="4"/>
    </w:pPr>
  </w:style>
  <w:style w:type="paragraph" w:customStyle="1" w:styleId="ScheduleL6">
    <w:name w:val="Schedule L6"/>
    <w:basedOn w:val="Normal"/>
    <w:uiPriority w:val="3"/>
    <w:qFormat/>
    <w:pPr>
      <w:numPr>
        <w:ilvl w:val="5"/>
        <w:numId w:val="94"/>
      </w:numPr>
      <w:outlineLvl w:val="5"/>
    </w:pPr>
  </w:style>
  <w:style w:type="paragraph" w:customStyle="1" w:styleId="MESubheading">
    <w:name w:val="ME Sub heading"/>
    <w:basedOn w:val="Normal"/>
    <w:next w:val="Normal"/>
    <w:uiPriority w:val="4"/>
    <w:qFormat/>
    <w:pPr>
      <w:keepNext/>
      <w:keepLines/>
      <w:spacing w:before="200" w:after="200" w:line="400" w:lineRule="exact"/>
    </w:pPr>
    <w:rPr>
      <w:rFonts w:ascii="Arial" w:hAnsi="Arial"/>
      <w:spacing w:val="-10"/>
      <w:w w:val="95"/>
      <w:sz w:val="40"/>
      <w:szCs w:val="40"/>
    </w:rPr>
  </w:style>
  <w:style w:type="paragraph" w:customStyle="1" w:styleId="ContentsDetails">
    <w:name w:val="ContentsDetails"/>
    <w:basedOn w:val="Normal"/>
    <w:next w:val="ContentsTitle"/>
    <w:uiPriority w:val="5"/>
    <w:qFormat/>
    <w:pPr>
      <w:spacing w:after="480" w:line="480" w:lineRule="exact"/>
    </w:pPr>
    <w:rPr>
      <w:rFonts w:ascii="Arial" w:hAnsi="Arial"/>
      <w:spacing w:val="-10"/>
      <w:w w:val="95"/>
      <w:sz w:val="36"/>
      <w:szCs w:val="36"/>
    </w:rPr>
  </w:style>
  <w:style w:type="paragraph" w:customStyle="1" w:styleId="ContentsTitle">
    <w:name w:val="ContentsTitle"/>
    <w:basedOn w:val="Normal"/>
    <w:uiPriority w:val="5"/>
    <w:qFormat/>
    <w:pPr>
      <w:spacing w:after="0" w:line="480" w:lineRule="exact"/>
    </w:pPr>
    <w:rPr>
      <w:rFonts w:ascii="Arial" w:hAnsi="Arial"/>
      <w:spacing w:val="-10"/>
      <w:w w:val="95"/>
      <w:sz w:val="48"/>
      <w:szCs w:val="48"/>
    </w:rPr>
  </w:style>
  <w:style w:type="paragraph" w:customStyle="1" w:styleId="CoverPageDetails">
    <w:name w:val="CoverPageDetails"/>
    <w:basedOn w:val="Normal"/>
    <w:uiPriority w:val="5"/>
    <w:qFormat/>
    <w:pPr>
      <w:spacing w:after="240" w:line="480" w:lineRule="exact"/>
    </w:pPr>
    <w:rPr>
      <w:rFonts w:ascii="Arial" w:hAnsi="Arial"/>
      <w:spacing w:val="-10"/>
      <w:w w:val="95"/>
      <w:sz w:val="40"/>
      <w:szCs w:val="40"/>
    </w:rPr>
  </w:style>
  <w:style w:type="paragraph" w:customStyle="1" w:styleId="CoverPageNames">
    <w:name w:val="CoverPageNames"/>
    <w:basedOn w:val="Normal"/>
    <w:uiPriority w:val="5"/>
    <w:qFormat/>
    <w:pPr>
      <w:spacing w:after="80" w:line="320" w:lineRule="exact"/>
    </w:pPr>
    <w:rPr>
      <w:rFonts w:ascii="Arial" w:hAnsi="Arial"/>
      <w:sz w:val="24"/>
      <w:szCs w:val="24"/>
    </w:rPr>
  </w:style>
  <w:style w:type="paragraph" w:customStyle="1" w:styleId="CoverPageTitle">
    <w:name w:val="CoverPageTitle"/>
    <w:basedOn w:val="Normal"/>
    <w:next w:val="Normal"/>
    <w:uiPriority w:val="5"/>
    <w:qFormat/>
    <w:pPr>
      <w:spacing w:after="480" w:line="720" w:lineRule="exact"/>
    </w:pPr>
    <w:rPr>
      <w:rFonts w:ascii="Arial" w:hAnsi="Arial"/>
      <w:spacing w:val="-20"/>
      <w:w w:val="95"/>
      <w:sz w:val="72"/>
      <w:szCs w:val="72"/>
    </w:rPr>
  </w:style>
  <w:style w:type="paragraph" w:customStyle="1" w:styleId="DraftText">
    <w:name w:val="DraftText"/>
    <w:basedOn w:val="Normal"/>
    <w:pPr>
      <w:spacing w:after="0"/>
    </w:pPr>
    <w:rPr>
      <w:rFonts w:ascii="Arial" w:hAnsi="Arial"/>
      <w:sz w:val="20"/>
      <w:szCs w:val="20"/>
    </w:rPr>
  </w:style>
  <w:style w:type="paragraph" w:customStyle="1" w:styleId="MEChapterheading">
    <w:name w:val="ME Chapter heading"/>
    <w:basedOn w:val="Normal"/>
    <w:next w:val="Normal"/>
    <w:uiPriority w:val="4"/>
    <w:qFormat/>
    <w:pPr>
      <w:pBdr>
        <w:bottom w:val="single" w:sz="4" w:space="1" w:color="auto"/>
      </w:pBdr>
      <w:spacing w:before="140" w:after="480" w:line="480" w:lineRule="exact"/>
      <w:outlineLvl w:val="0"/>
    </w:pPr>
    <w:rPr>
      <w:rFonts w:ascii="Arial" w:hAnsi="Arial"/>
      <w:spacing w:val="-10"/>
      <w:w w:val="95"/>
      <w:sz w:val="48"/>
      <w:szCs w:val="48"/>
    </w:rPr>
  </w:style>
  <w:style w:type="paragraph" w:customStyle="1" w:styleId="PartiesDetails">
    <w:name w:val="PartiesDetails"/>
    <w:basedOn w:val="Normal"/>
    <w:next w:val="Normal"/>
    <w:uiPriority w:val="4"/>
    <w:qFormat/>
    <w:pPr>
      <w:spacing w:after="0"/>
    </w:pPr>
  </w:style>
  <w:style w:type="paragraph" w:styleId="TOC2">
    <w:name w:val="toc 2"/>
    <w:basedOn w:val="Normal"/>
    <w:next w:val="Normal"/>
    <w:uiPriority w:val="39"/>
    <w:pPr>
      <w:tabs>
        <w:tab w:val="right" w:pos="9072"/>
      </w:tabs>
      <w:spacing w:before="140" w:after="60"/>
      <w:ind w:left="680" w:right="567" w:hanging="680"/>
      <w:outlineLvl w:val="1"/>
    </w:pPr>
    <w:rPr>
      <w:rFonts w:ascii="Arial" w:hAnsi="Arial"/>
      <w:b/>
      <w:bCs/>
      <w:w w:val="95"/>
      <w:sz w:val="24"/>
      <w:szCs w:val="24"/>
    </w:rPr>
  </w:style>
  <w:style w:type="paragraph" w:styleId="TOC3">
    <w:name w:val="toc 3"/>
    <w:basedOn w:val="Normal"/>
    <w:next w:val="Normal"/>
    <w:uiPriority w:val="39"/>
    <w:pPr>
      <w:tabs>
        <w:tab w:val="right" w:pos="9072"/>
      </w:tabs>
      <w:spacing w:after="0"/>
      <w:ind w:left="680" w:right="567" w:hanging="680"/>
      <w:outlineLvl w:val="2"/>
    </w:pPr>
    <w:rPr>
      <w:rFonts w:ascii="Arial" w:hAnsi="Arial"/>
      <w:w w:val="95"/>
    </w:rPr>
  </w:style>
  <w:style w:type="paragraph" w:customStyle="1" w:styleId="Bullet">
    <w:name w:val="Bullet"/>
    <w:basedOn w:val="Normal"/>
    <w:next w:val="Normal"/>
    <w:qFormat/>
    <w:pPr>
      <w:numPr>
        <w:numId w:val="22"/>
      </w:numPr>
    </w:pPr>
  </w:style>
  <w:style w:type="paragraph" w:customStyle="1" w:styleId="MEBasic1">
    <w:name w:val="ME Basic 1"/>
    <w:basedOn w:val="Normal"/>
    <w:uiPriority w:val="1"/>
    <w:qFormat/>
    <w:pPr>
      <w:numPr>
        <w:numId w:val="24"/>
      </w:numPr>
      <w:outlineLvl w:val="0"/>
    </w:pPr>
  </w:style>
  <w:style w:type="paragraph" w:customStyle="1" w:styleId="MEBasic2">
    <w:name w:val="ME Basic 2"/>
    <w:basedOn w:val="Normal"/>
    <w:uiPriority w:val="1"/>
    <w:qFormat/>
    <w:pPr>
      <w:numPr>
        <w:ilvl w:val="1"/>
        <w:numId w:val="24"/>
      </w:numPr>
      <w:outlineLvl w:val="1"/>
    </w:pPr>
  </w:style>
  <w:style w:type="paragraph" w:customStyle="1" w:styleId="MEBasic3">
    <w:name w:val="ME Basic 3"/>
    <w:basedOn w:val="Normal"/>
    <w:uiPriority w:val="1"/>
    <w:qFormat/>
    <w:pPr>
      <w:numPr>
        <w:ilvl w:val="2"/>
        <w:numId w:val="24"/>
      </w:numPr>
      <w:outlineLvl w:val="2"/>
    </w:pPr>
  </w:style>
  <w:style w:type="paragraph" w:customStyle="1" w:styleId="MEBasic4">
    <w:name w:val="ME Basic 4"/>
    <w:basedOn w:val="Normal"/>
    <w:uiPriority w:val="1"/>
    <w:qFormat/>
    <w:pPr>
      <w:numPr>
        <w:ilvl w:val="3"/>
        <w:numId w:val="24"/>
      </w:numPr>
      <w:outlineLvl w:val="3"/>
    </w:pPr>
  </w:style>
  <w:style w:type="paragraph" w:customStyle="1" w:styleId="MEBasic5">
    <w:name w:val="ME Basic 5"/>
    <w:basedOn w:val="Normal"/>
    <w:uiPriority w:val="1"/>
    <w:qFormat/>
    <w:pPr>
      <w:numPr>
        <w:ilvl w:val="4"/>
        <w:numId w:val="24"/>
      </w:numPr>
      <w:outlineLvl w:val="4"/>
    </w:pPr>
  </w:style>
  <w:style w:type="paragraph" w:customStyle="1" w:styleId="WarrantyL1">
    <w:name w:val="WarrantyL1"/>
    <w:basedOn w:val="Normal"/>
    <w:next w:val="Normal"/>
    <w:uiPriority w:val="3"/>
    <w:qFormat/>
    <w:pPr>
      <w:numPr>
        <w:numId w:val="26"/>
      </w:numPr>
      <w:spacing w:before="280"/>
      <w:outlineLvl w:val="0"/>
    </w:pPr>
    <w:rPr>
      <w:rFonts w:ascii="Arial" w:hAnsi="Arial"/>
      <w:spacing w:val="-10"/>
      <w:w w:val="95"/>
      <w:sz w:val="32"/>
    </w:rPr>
  </w:style>
  <w:style w:type="paragraph" w:customStyle="1" w:styleId="zMELogo">
    <w:name w:val="zMELogo"/>
    <w:basedOn w:val="Normal"/>
    <w:next w:val="Normal"/>
    <w:pPr>
      <w:spacing w:after="0" w:line="240" w:lineRule="auto"/>
    </w:pPr>
    <w:rPr>
      <w:w w:val="97"/>
      <w:sz w:val="62"/>
      <w:szCs w:val="62"/>
    </w:rPr>
  </w:style>
  <w:style w:type="paragraph" w:customStyle="1" w:styleId="WarrantyL2">
    <w:name w:val="WarrantyL2"/>
    <w:basedOn w:val="Normal"/>
    <w:uiPriority w:val="3"/>
    <w:qFormat/>
    <w:pPr>
      <w:numPr>
        <w:ilvl w:val="1"/>
        <w:numId w:val="26"/>
      </w:numPr>
      <w:outlineLvl w:val="1"/>
    </w:pPr>
  </w:style>
  <w:style w:type="paragraph" w:customStyle="1" w:styleId="WarrantyL3">
    <w:name w:val="WarrantyL3"/>
    <w:basedOn w:val="Normal"/>
    <w:uiPriority w:val="3"/>
    <w:qFormat/>
    <w:pPr>
      <w:numPr>
        <w:ilvl w:val="2"/>
        <w:numId w:val="26"/>
      </w:numPr>
      <w:outlineLvl w:val="2"/>
    </w:pPr>
  </w:style>
  <w:style w:type="paragraph" w:customStyle="1" w:styleId="WarrantyL4">
    <w:name w:val="WarrantyL4"/>
    <w:basedOn w:val="Normal"/>
    <w:uiPriority w:val="3"/>
    <w:qFormat/>
    <w:pPr>
      <w:numPr>
        <w:ilvl w:val="3"/>
        <w:numId w:val="26"/>
      </w:numPr>
      <w:outlineLvl w:val="3"/>
    </w:pPr>
  </w:style>
  <w:style w:type="paragraph" w:customStyle="1" w:styleId="WarrantyL5">
    <w:name w:val="WarrantyL5"/>
    <w:basedOn w:val="Normal"/>
    <w:uiPriority w:val="3"/>
    <w:qFormat/>
    <w:pPr>
      <w:numPr>
        <w:ilvl w:val="4"/>
        <w:numId w:val="26"/>
      </w:numPr>
      <w:outlineLvl w:val="4"/>
    </w:pPr>
  </w:style>
  <w:style w:type="paragraph" w:customStyle="1" w:styleId="Level1">
    <w:name w:val="Level 1"/>
    <w:basedOn w:val="Normal"/>
    <w:uiPriority w:val="3"/>
    <w:qFormat/>
    <w:pPr>
      <w:numPr>
        <w:numId w:val="61"/>
      </w:numPr>
      <w:outlineLvl w:val="0"/>
    </w:pPr>
  </w:style>
  <w:style w:type="paragraph" w:customStyle="1" w:styleId="Level2">
    <w:name w:val="Level 2"/>
    <w:basedOn w:val="Normal"/>
    <w:uiPriority w:val="3"/>
    <w:qFormat/>
    <w:pPr>
      <w:numPr>
        <w:ilvl w:val="1"/>
        <w:numId w:val="61"/>
      </w:numPr>
      <w:outlineLvl w:val="1"/>
    </w:pPr>
  </w:style>
  <w:style w:type="paragraph" w:customStyle="1" w:styleId="ItemL2">
    <w:name w:val="Item L2"/>
    <w:basedOn w:val="Normal"/>
    <w:uiPriority w:val="3"/>
    <w:qFormat/>
    <w:pPr>
      <w:numPr>
        <w:ilvl w:val="1"/>
        <w:numId w:val="91"/>
      </w:numPr>
      <w:spacing w:before="60" w:after="60"/>
      <w:outlineLvl w:val="1"/>
    </w:pPr>
  </w:style>
  <w:style w:type="paragraph" w:styleId="ListBullet">
    <w:name w:val="List Bullet"/>
    <w:basedOn w:val="Normal"/>
    <w:semiHidden/>
    <w:pPr>
      <w:numPr>
        <w:numId w:val="2"/>
      </w:numPr>
    </w:pPr>
  </w:style>
  <w:style w:type="paragraph" w:customStyle="1" w:styleId="Level3">
    <w:name w:val="Level 3"/>
    <w:basedOn w:val="Normal"/>
    <w:uiPriority w:val="3"/>
    <w:qFormat/>
    <w:pPr>
      <w:numPr>
        <w:ilvl w:val="2"/>
        <w:numId w:val="61"/>
      </w:numPr>
      <w:outlineLvl w:val="2"/>
    </w:pPr>
  </w:style>
  <w:style w:type="paragraph" w:customStyle="1" w:styleId="MELegal7">
    <w:name w:val="ME Legal 7"/>
    <w:basedOn w:val="Normal"/>
    <w:qFormat/>
    <w:pPr>
      <w:numPr>
        <w:ilvl w:val="6"/>
        <w:numId w:val="35"/>
      </w:numPr>
      <w:outlineLvl w:val="6"/>
    </w:pPr>
  </w:style>
  <w:style w:type="paragraph" w:customStyle="1" w:styleId="DefinitionL1">
    <w:name w:val="Definition L1"/>
    <w:basedOn w:val="Normal"/>
    <w:link w:val="DefinitionL1Char"/>
    <w:uiPriority w:val="3"/>
    <w:qFormat/>
    <w:pPr>
      <w:numPr>
        <w:numId w:val="45"/>
      </w:numPr>
      <w:outlineLvl w:val="0"/>
    </w:pPr>
  </w:style>
  <w:style w:type="paragraph" w:customStyle="1" w:styleId="DefinitionL2">
    <w:name w:val="Definition L2"/>
    <w:basedOn w:val="Normal"/>
    <w:link w:val="DefinitionL2Char"/>
    <w:uiPriority w:val="3"/>
    <w:qFormat/>
    <w:pPr>
      <w:numPr>
        <w:ilvl w:val="1"/>
        <w:numId w:val="45"/>
      </w:numPr>
      <w:outlineLvl w:val="1"/>
    </w:pPr>
  </w:style>
  <w:style w:type="paragraph" w:customStyle="1" w:styleId="DefinitionL3">
    <w:name w:val="Definition L3"/>
    <w:basedOn w:val="Normal"/>
    <w:uiPriority w:val="3"/>
    <w:qFormat/>
    <w:pPr>
      <w:numPr>
        <w:ilvl w:val="2"/>
        <w:numId w:val="45"/>
      </w:numPr>
      <w:outlineLvl w:val="2"/>
    </w:pPr>
  </w:style>
  <w:style w:type="paragraph" w:customStyle="1" w:styleId="PartL1">
    <w:name w:val="Part L1"/>
    <w:basedOn w:val="Normal"/>
    <w:next w:val="Normal"/>
    <w:uiPriority w:val="3"/>
    <w:qFormat/>
    <w:pPr>
      <w:numPr>
        <w:numId w:val="25"/>
      </w:numPr>
      <w:spacing w:before="200" w:after="200" w:line="400" w:lineRule="exact"/>
      <w:outlineLvl w:val="0"/>
    </w:pPr>
    <w:rPr>
      <w:rFonts w:ascii="Arial" w:hAnsi="Arial"/>
      <w:spacing w:val="-10"/>
      <w:w w:val="95"/>
      <w:sz w:val="40"/>
    </w:rPr>
  </w:style>
  <w:style w:type="numbering" w:styleId="ArticleSection">
    <w:name w:val="Outline List 3"/>
    <w:basedOn w:val="NoList"/>
    <w:semiHidden/>
    <w:pPr>
      <w:numPr>
        <w:numId w:val="4"/>
      </w:numPr>
    </w:pPr>
  </w:style>
  <w:style w:type="paragraph" w:styleId="ListBullet5">
    <w:name w:val="List Bullet 5"/>
    <w:basedOn w:val="Normal"/>
    <w:semiHidden/>
    <w:pPr>
      <w:numPr>
        <w:numId w:val="5"/>
      </w:numPr>
    </w:pPr>
  </w:style>
  <w:style w:type="paragraph" w:customStyle="1" w:styleId="CoverPageAnnexure">
    <w:name w:val="CoverPageAnnexure"/>
    <w:basedOn w:val="CoverPageTitle"/>
    <w:next w:val="Normal"/>
    <w:uiPriority w:val="5"/>
    <w:qFormat/>
    <w:pPr>
      <w:outlineLvl w:val="0"/>
    </w:pPr>
  </w:style>
  <w:style w:type="paragraph" w:styleId="NoSpacing">
    <w:name w:val="No Spacing"/>
    <w:uiPriority w:val="4"/>
    <w:unhideWhenUsed/>
    <w:qFormat/>
    <w:rPr>
      <w:rFonts w:cs="Angsana New"/>
      <w:sz w:val="22"/>
      <w:szCs w:val="28"/>
      <w:lang w:eastAsia="zh-CN" w:bidi="th-TH"/>
    </w:rPr>
  </w:style>
  <w:style w:type="numbering" w:customStyle="1" w:styleId="MELegal">
    <w:name w:val="ME Legal"/>
    <w:uiPriority w:val="99"/>
    <w:pPr>
      <w:numPr>
        <w:numId w:val="35"/>
      </w:numPr>
    </w:pPr>
  </w:style>
  <w:style w:type="character" w:customStyle="1" w:styleId="MELegal3Char">
    <w:name w:val="ME Legal 3 Char"/>
    <w:basedOn w:val="DefaultParagraphFont"/>
    <w:link w:val="MELegal3"/>
    <w:rPr>
      <w:rFonts w:cs="Angsana New"/>
      <w:sz w:val="22"/>
      <w:szCs w:val="22"/>
      <w:lang w:eastAsia="zh-CN" w:bidi="th-TH"/>
    </w:rPr>
  </w:style>
  <w:style w:type="numbering" w:customStyle="1" w:styleId="Definition">
    <w:name w:val="Definition"/>
    <w:uiPriority w:val="99"/>
    <w:pPr>
      <w:numPr>
        <w:numId w:val="45"/>
      </w:numPr>
    </w:pPr>
  </w:style>
  <w:style w:type="character" w:customStyle="1" w:styleId="DefinitionL2Char">
    <w:name w:val="Definition L2 Char"/>
    <w:basedOn w:val="DefaultParagraphFont"/>
    <w:link w:val="DefinitionL2"/>
    <w:uiPriority w:val="3"/>
    <w:rPr>
      <w:rFonts w:cs="Angsana New"/>
      <w:sz w:val="22"/>
      <w:szCs w:val="22"/>
      <w:lang w:eastAsia="zh-CN" w:bidi="th-TH"/>
    </w:rPr>
  </w:style>
  <w:style w:type="numbering" w:customStyle="1" w:styleId="MEBasic">
    <w:name w:val="ME Basic"/>
    <w:uiPriority w:val="99"/>
    <w:pPr>
      <w:numPr>
        <w:numId w:val="24"/>
      </w:numPr>
    </w:pPr>
  </w:style>
  <w:style w:type="character" w:customStyle="1" w:styleId="MELegal4Char">
    <w:name w:val="ME Legal 4 Char"/>
    <w:basedOn w:val="DefaultParagraphFont"/>
    <w:link w:val="MELegal4"/>
    <w:rPr>
      <w:rFonts w:cs="Angsana New"/>
      <w:sz w:val="22"/>
      <w:szCs w:val="22"/>
      <w:lang w:eastAsia="zh-CN" w:bidi="th-TH"/>
    </w:rPr>
  </w:style>
  <w:style w:type="numbering" w:styleId="111111">
    <w:name w:val="Outline List 2"/>
    <w:basedOn w:val="NoList"/>
    <w:semiHidden/>
    <w:pPr>
      <w:numPr>
        <w:numId w:val="8"/>
      </w:numPr>
    </w:pPr>
  </w:style>
  <w:style w:type="paragraph" w:styleId="EndnoteText">
    <w:name w:val="endnote text"/>
    <w:basedOn w:val="Normal"/>
    <w:link w:val="EndnoteTextChar"/>
    <w:semiHidden/>
    <w:pPr>
      <w:spacing w:after="0" w:line="240" w:lineRule="auto"/>
    </w:pPr>
    <w:rPr>
      <w:sz w:val="20"/>
      <w:szCs w:val="20"/>
    </w:rPr>
  </w:style>
  <w:style w:type="character" w:customStyle="1" w:styleId="EndnoteTextChar">
    <w:name w:val="Endnote Text Char"/>
    <w:basedOn w:val="DefaultParagraphFont"/>
    <w:link w:val="EndnoteText"/>
    <w:semiHidden/>
    <w:rPr>
      <w:rFonts w:cs="Angsana New"/>
      <w:lang w:eastAsia="zh-CN" w:bidi="th-TH"/>
    </w:rPr>
  </w:style>
  <w:style w:type="paragraph" w:styleId="FootnoteText">
    <w:name w:val="footnote text"/>
    <w:basedOn w:val="Normal"/>
    <w:link w:val="FootnoteTextChar"/>
    <w:semiHidden/>
    <w:pPr>
      <w:spacing w:after="0" w:line="240" w:lineRule="auto"/>
    </w:pPr>
    <w:rPr>
      <w:sz w:val="20"/>
      <w:szCs w:val="20"/>
    </w:rPr>
  </w:style>
  <w:style w:type="character" w:customStyle="1" w:styleId="FootnoteTextChar">
    <w:name w:val="Footnote Text Char"/>
    <w:basedOn w:val="DefaultParagraphFont"/>
    <w:link w:val="FootnoteText"/>
    <w:semiHidden/>
    <w:rPr>
      <w:rFonts w:cs="Angsana New"/>
      <w:lang w:eastAsia="zh-CN" w:bidi="th-TH"/>
    </w:rPr>
  </w:style>
  <w:style w:type="paragraph" w:styleId="TOC4">
    <w:name w:val="toc 4"/>
    <w:basedOn w:val="Normal"/>
    <w:next w:val="Normal"/>
    <w:uiPriority w:val="39"/>
    <w:unhideWhenUsed/>
    <w:pPr>
      <w:ind w:left="680" w:right="567" w:hanging="680"/>
      <w:outlineLvl w:val="3"/>
    </w:pPr>
    <w:rPr>
      <w:rFonts w:ascii="Arial" w:hAnsi="Arial"/>
      <w:w w:val="95"/>
    </w:rPr>
  </w:style>
  <w:style w:type="paragraph" w:styleId="TOC5">
    <w:name w:val="toc 5"/>
    <w:basedOn w:val="Normal"/>
    <w:next w:val="Normal"/>
    <w:uiPriority w:val="39"/>
    <w:unhideWhenUsed/>
    <w:pPr>
      <w:ind w:left="680" w:right="567" w:hanging="680"/>
      <w:outlineLvl w:val="4"/>
    </w:pPr>
    <w:rPr>
      <w:rFonts w:ascii="Arial" w:hAnsi="Arial"/>
      <w:w w:val="95"/>
    </w:rPr>
  </w:style>
  <w:style w:type="paragraph" w:styleId="TOC6">
    <w:name w:val="toc 6"/>
    <w:basedOn w:val="Normal"/>
    <w:next w:val="Normal"/>
    <w:uiPriority w:val="39"/>
    <w:unhideWhenUsed/>
    <w:pPr>
      <w:ind w:left="680" w:right="567" w:hanging="680"/>
      <w:outlineLvl w:val="5"/>
    </w:pPr>
    <w:rPr>
      <w:rFonts w:ascii="Arial" w:hAnsi="Arial"/>
      <w:w w:val="95"/>
    </w:rPr>
  </w:style>
  <w:style w:type="paragraph" w:styleId="TOC7">
    <w:name w:val="toc 7"/>
    <w:basedOn w:val="Normal"/>
    <w:next w:val="Normal"/>
    <w:uiPriority w:val="39"/>
    <w:unhideWhenUsed/>
    <w:pPr>
      <w:ind w:left="680" w:right="567" w:hanging="680"/>
      <w:outlineLvl w:val="6"/>
    </w:pPr>
    <w:rPr>
      <w:rFonts w:ascii="Arial" w:hAnsi="Arial"/>
      <w:w w:val="95"/>
    </w:rPr>
  </w:style>
  <w:style w:type="paragraph" w:styleId="TOC8">
    <w:name w:val="toc 8"/>
    <w:basedOn w:val="Normal"/>
    <w:next w:val="Normal"/>
    <w:uiPriority w:val="39"/>
    <w:unhideWhenUsed/>
    <w:pPr>
      <w:ind w:left="680" w:right="567" w:hanging="680"/>
      <w:outlineLvl w:val="7"/>
    </w:pPr>
    <w:rPr>
      <w:rFonts w:ascii="Arial" w:hAnsi="Arial"/>
      <w:w w:val="95"/>
    </w:rPr>
  </w:style>
  <w:style w:type="paragraph" w:styleId="TOC9">
    <w:name w:val="toc 9"/>
    <w:basedOn w:val="Normal"/>
    <w:next w:val="Normal"/>
    <w:uiPriority w:val="39"/>
    <w:unhideWhenUsed/>
    <w:pPr>
      <w:ind w:left="680" w:right="567" w:hanging="680"/>
      <w:outlineLvl w:val="8"/>
    </w:pPr>
    <w:rPr>
      <w:rFonts w:ascii="Arial" w:hAnsi="Arial"/>
      <w:w w:val="95"/>
    </w:rPr>
  </w:style>
  <w:style w:type="character" w:customStyle="1" w:styleId="DefinitionL1Char">
    <w:name w:val="Definition L1 Char"/>
    <w:basedOn w:val="DefaultParagraphFont"/>
    <w:link w:val="DefinitionL1"/>
    <w:uiPriority w:val="3"/>
    <w:rPr>
      <w:rFonts w:cs="Angsana New"/>
      <w:sz w:val="22"/>
      <w:szCs w:val="22"/>
      <w:lang w:eastAsia="zh-CN" w:bidi="th-TH"/>
    </w:rPr>
  </w:style>
  <w:style w:type="paragraph" w:styleId="BlockText">
    <w:name w:val="Block Text"/>
    <w:basedOn w:val="Normal"/>
    <w:semiHidden/>
    <w:pPr>
      <w:spacing w:after="120"/>
      <w:ind w:left="1440" w:right="1440"/>
    </w:pPr>
  </w:style>
  <w:style w:type="paragraph" w:styleId="ListParagraph">
    <w:name w:val="List Paragraph"/>
    <w:basedOn w:val="Normal"/>
    <w:uiPriority w:val="34"/>
    <w:semiHidden/>
    <w:qFormat/>
    <w:pPr>
      <w:spacing w:after="0" w:line="240" w:lineRule="auto"/>
      <w:ind w:left="720"/>
    </w:pPr>
    <w:rPr>
      <w:sz w:val="24"/>
      <w:szCs w:val="24"/>
      <w:lang w:eastAsia="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lang w:eastAsia="zh-CN" w:bidi="th-TH"/>
    </w:rPr>
  </w:style>
  <w:style w:type="paragraph" w:styleId="BodyText">
    <w:name w:val="Body Text"/>
    <w:basedOn w:val="Normal"/>
    <w:link w:val="BodyTextChar"/>
    <w:semiHidden/>
    <w:pPr>
      <w:spacing w:after="120"/>
    </w:pPr>
  </w:style>
  <w:style w:type="character" w:customStyle="1" w:styleId="BodyTextChar">
    <w:name w:val="Body Text Char"/>
    <w:basedOn w:val="DefaultParagraphFont"/>
    <w:link w:val="BodyText"/>
    <w:semiHidden/>
    <w:rPr>
      <w:rFonts w:cs="Angsana New"/>
      <w:sz w:val="22"/>
      <w:szCs w:val="22"/>
      <w:lang w:eastAsia="zh-CN" w:bidi="th-TH"/>
    </w:rPr>
  </w:style>
  <w:style w:type="paragraph" w:styleId="BodyText2">
    <w:name w:val="Body Text 2"/>
    <w:basedOn w:val="Normal"/>
    <w:link w:val="BodyText2Char"/>
    <w:semiHidden/>
    <w:pPr>
      <w:spacing w:after="120" w:line="480" w:lineRule="auto"/>
    </w:pPr>
  </w:style>
  <w:style w:type="character" w:customStyle="1" w:styleId="BodyText2Char">
    <w:name w:val="Body Text 2 Char"/>
    <w:basedOn w:val="DefaultParagraphFont"/>
    <w:link w:val="BodyText2"/>
    <w:semiHidden/>
    <w:rPr>
      <w:rFonts w:cs="Angsana New"/>
      <w:sz w:val="22"/>
      <w:szCs w:val="22"/>
      <w:lang w:eastAsia="zh-CN" w:bidi="th-TH"/>
    </w:rPr>
  </w:style>
  <w:style w:type="paragraph" w:styleId="BodyText3">
    <w:name w:val="Body Text 3"/>
    <w:basedOn w:val="Normal"/>
    <w:link w:val="BodyText3Char"/>
    <w:semiHidden/>
    <w:pPr>
      <w:spacing w:after="120"/>
    </w:pPr>
    <w:rPr>
      <w:sz w:val="16"/>
      <w:szCs w:val="16"/>
    </w:rPr>
  </w:style>
  <w:style w:type="paragraph" w:styleId="ListBullet4">
    <w:name w:val="List Bullet 4"/>
    <w:basedOn w:val="Normal"/>
    <w:semiHidden/>
    <w:pPr>
      <w:numPr>
        <w:numId w:val="11"/>
      </w:numPr>
    </w:pPr>
  </w:style>
  <w:style w:type="paragraph" w:styleId="Revision">
    <w:name w:val="Revision"/>
    <w:hidden/>
    <w:uiPriority w:val="99"/>
    <w:semiHidden/>
    <w:rPr>
      <w:sz w:val="22"/>
    </w:rPr>
  </w:style>
  <w:style w:type="numbering" w:customStyle="1" w:styleId="Schedule">
    <w:name w:val="Schedule"/>
    <w:uiPriority w:val="99"/>
    <w:pPr>
      <w:numPr>
        <w:numId w:val="94"/>
      </w:numPr>
    </w:pPr>
  </w:style>
  <w:style w:type="paragraph" w:customStyle="1" w:styleId="Item">
    <w:name w:val="Item"/>
    <w:basedOn w:val="Normal"/>
    <w:pPr>
      <w:numPr>
        <w:numId w:val="13"/>
      </w:numPr>
      <w:spacing w:before="240" w:after="240" w:line="240" w:lineRule="auto"/>
    </w:pPr>
    <w:rPr>
      <w:rFonts w:ascii="Times New (W1)" w:hAnsi="Times New (W1)"/>
      <w:sz w:val="24"/>
    </w:rPr>
  </w:style>
  <w:style w:type="paragraph" w:styleId="ListNumber4">
    <w:name w:val="List Number 4"/>
    <w:basedOn w:val="Normal"/>
    <w:semiHidden/>
    <w:pPr>
      <w:numPr>
        <w:numId w:val="20"/>
      </w:numPr>
    </w:pPr>
  </w:style>
  <w:style w:type="character" w:customStyle="1" w:styleId="BodyText3Char">
    <w:name w:val="Body Text 3 Char"/>
    <w:basedOn w:val="DefaultParagraphFont"/>
    <w:link w:val="BodyText3"/>
    <w:semiHidden/>
    <w:rPr>
      <w:rFonts w:cs="Angsana New"/>
      <w:sz w:val="16"/>
      <w:szCs w:val="16"/>
      <w:lang w:eastAsia="zh-CN" w:bidi="th-TH"/>
    </w:rPr>
  </w:style>
  <w:style w:type="paragraph" w:styleId="BodyTextFirstIndent">
    <w:name w:val="Body Text First Indent"/>
    <w:basedOn w:val="BodyText"/>
    <w:link w:val="BodyTextFirstIndentChar"/>
    <w:semiHidden/>
    <w:pPr>
      <w:ind w:firstLine="210"/>
    </w:pPr>
  </w:style>
  <w:style w:type="character" w:customStyle="1" w:styleId="BodyTextFirstIndentChar">
    <w:name w:val="Body Text First Indent Char"/>
    <w:basedOn w:val="BodyTextChar"/>
    <w:link w:val="BodyTextFirstIndent"/>
    <w:semiHidden/>
    <w:rPr>
      <w:rFonts w:cs="Angsana New"/>
      <w:sz w:val="22"/>
      <w:szCs w:val="22"/>
      <w:lang w:eastAsia="zh-CN" w:bidi="th-TH"/>
    </w:rPr>
  </w:style>
  <w:style w:type="paragraph" w:styleId="BodyTextIndent">
    <w:name w:val="Body Text Indent"/>
    <w:basedOn w:val="Normal"/>
    <w:link w:val="BodyTextIndentChar"/>
    <w:semiHidden/>
    <w:pPr>
      <w:spacing w:after="120"/>
      <w:ind w:left="283"/>
    </w:pPr>
  </w:style>
  <w:style w:type="character" w:customStyle="1" w:styleId="BodyTextIndentChar">
    <w:name w:val="Body Text Indent Char"/>
    <w:basedOn w:val="DefaultParagraphFont"/>
    <w:link w:val="BodyTextIndent"/>
    <w:semiHidden/>
    <w:rPr>
      <w:rFonts w:cs="Angsana New"/>
      <w:sz w:val="22"/>
      <w:szCs w:val="22"/>
      <w:lang w:eastAsia="zh-CN" w:bidi="th-TH"/>
    </w:rPr>
  </w:style>
  <w:style w:type="paragraph" w:styleId="BodyTextFirstIndent2">
    <w:name w:val="Body Text First Indent 2"/>
    <w:basedOn w:val="BodyTextIndent"/>
    <w:link w:val="BodyTextFirstIndent2Char"/>
    <w:semiHidden/>
    <w:pPr>
      <w:ind w:firstLine="210"/>
    </w:pPr>
  </w:style>
  <w:style w:type="character" w:customStyle="1" w:styleId="BodyTextFirstIndent2Char">
    <w:name w:val="Body Text First Indent 2 Char"/>
    <w:basedOn w:val="BodyTextIndentChar"/>
    <w:link w:val="BodyTextFirstIndent2"/>
    <w:semiHidden/>
    <w:rPr>
      <w:rFonts w:cs="Angsana New"/>
      <w:sz w:val="22"/>
      <w:szCs w:val="22"/>
      <w:lang w:eastAsia="zh-CN" w:bidi="th-TH"/>
    </w:rPr>
  </w:style>
  <w:style w:type="paragraph" w:styleId="BodyTextIndent2">
    <w:name w:val="Body Text Indent 2"/>
    <w:basedOn w:val="Normal"/>
    <w:link w:val="BodyTextIndent2Char"/>
    <w:semiHidden/>
    <w:pPr>
      <w:spacing w:after="120" w:line="480" w:lineRule="auto"/>
      <w:ind w:left="283"/>
    </w:pPr>
  </w:style>
  <w:style w:type="character" w:customStyle="1" w:styleId="BodyTextIndent2Char">
    <w:name w:val="Body Text Indent 2 Char"/>
    <w:basedOn w:val="DefaultParagraphFont"/>
    <w:link w:val="BodyTextIndent2"/>
    <w:semiHidden/>
    <w:rPr>
      <w:rFonts w:cs="Angsana New"/>
      <w:sz w:val="22"/>
      <w:szCs w:val="22"/>
      <w:lang w:eastAsia="zh-CN" w:bidi="th-TH"/>
    </w:rPr>
  </w:style>
  <w:style w:type="paragraph" w:styleId="BodyTextIndent3">
    <w:name w:val="Body Text Indent 3"/>
    <w:basedOn w:val="Normal"/>
    <w:link w:val="BodyTextIndent3Char"/>
    <w:semiHidden/>
    <w:pPr>
      <w:spacing w:after="120"/>
      <w:ind w:left="283"/>
    </w:pPr>
    <w:rPr>
      <w:sz w:val="16"/>
      <w:szCs w:val="16"/>
    </w:rPr>
  </w:style>
  <w:style w:type="character" w:customStyle="1" w:styleId="BodyTextIndent3Char">
    <w:name w:val="Body Text Indent 3 Char"/>
    <w:basedOn w:val="DefaultParagraphFont"/>
    <w:link w:val="BodyTextIndent3"/>
    <w:semiHidden/>
    <w:rPr>
      <w:rFonts w:cs="Angsana New"/>
      <w:sz w:val="16"/>
      <w:szCs w:val="16"/>
      <w:lang w:eastAsia="zh-CN" w:bidi="th-TH"/>
    </w:rPr>
  </w:style>
  <w:style w:type="paragraph" w:styleId="Caption">
    <w:name w:val="caption"/>
    <w:basedOn w:val="Normal"/>
    <w:next w:val="Normal"/>
    <w:semiHidden/>
    <w:qFormat/>
    <w:rPr>
      <w:b/>
      <w:bCs/>
      <w:sz w:val="20"/>
      <w:szCs w:val="20"/>
    </w:rPr>
  </w:style>
  <w:style w:type="paragraph" w:styleId="Closing">
    <w:name w:val="Closing"/>
    <w:basedOn w:val="Normal"/>
    <w:link w:val="ClosingChar"/>
    <w:semiHidden/>
    <w:pPr>
      <w:ind w:left="4252"/>
    </w:pPr>
  </w:style>
  <w:style w:type="character" w:customStyle="1" w:styleId="ClosingChar">
    <w:name w:val="Closing Char"/>
    <w:basedOn w:val="DefaultParagraphFont"/>
    <w:link w:val="Closing"/>
    <w:semiHidden/>
    <w:rPr>
      <w:rFonts w:cs="Angsana New"/>
      <w:sz w:val="22"/>
      <w:szCs w:val="22"/>
      <w:lang w:eastAsia="zh-CN" w:bidi="th-TH"/>
    </w:r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semiHidden/>
    <w:rPr>
      <w:sz w:val="20"/>
      <w:szCs w:val="20"/>
    </w:rPr>
  </w:style>
  <w:style w:type="character" w:customStyle="1" w:styleId="CommentTextChar">
    <w:name w:val="Comment Text Char"/>
    <w:basedOn w:val="DefaultParagraphFont"/>
    <w:link w:val="CommentText"/>
    <w:semiHidden/>
    <w:rPr>
      <w:rFonts w:cs="Angsana New"/>
      <w:lang w:eastAsia="zh-CN" w:bidi="th-TH"/>
    </w:r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rPr>
      <w:rFonts w:cs="Angsana New"/>
      <w:b/>
      <w:bCs/>
      <w:lang w:eastAsia="zh-CN" w:bidi="th-TH"/>
    </w:rPr>
  </w:style>
  <w:style w:type="paragraph" w:styleId="Date">
    <w:name w:val="Date"/>
    <w:basedOn w:val="Normal"/>
    <w:next w:val="Normal"/>
    <w:link w:val="DateChar"/>
    <w:semiHidden/>
  </w:style>
  <w:style w:type="character" w:customStyle="1" w:styleId="DateChar">
    <w:name w:val="Date Char"/>
    <w:basedOn w:val="DefaultParagraphFont"/>
    <w:link w:val="Date"/>
    <w:semiHidden/>
    <w:rPr>
      <w:rFonts w:cs="Angsana New"/>
      <w:sz w:val="22"/>
      <w:szCs w:val="22"/>
      <w:lang w:eastAsia="zh-CN" w:bidi="th-TH"/>
    </w:rPr>
  </w:style>
  <w:style w:type="paragraph" w:styleId="DocumentMap">
    <w:name w:val="Document Map"/>
    <w:basedOn w:val="Normal"/>
    <w:link w:val="DocumentMapChar"/>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Pr>
      <w:rFonts w:ascii="Tahoma" w:hAnsi="Tahoma" w:cs="Tahoma"/>
      <w:shd w:val="clear" w:color="auto" w:fill="000080"/>
      <w:lang w:eastAsia="zh-CN" w:bidi="th-TH"/>
    </w:rPr>
  </w:style>
  <w:style w:type="paragraph" w:styleId="E-mailSignature">
    <w:name w:val="E-mail Signature"/>
    <w:basedOn w:val="Normal"/>
    <w:link w:val="E-mailSignatureChar"/>
    <w:semiHidden/>
  </w:style>
  <w:style w:type="character" w:customStyle="1" w:styleId="E-mailSignatureChar">
    <w:name w:val="E-mail Signature Char"/>
    <w:basedOn w:val="DefaultParagraphFont"/>
    <w:link w:val="E-mailSignature"/>
    <w:semiHidden/>
    <w:rPr>
      <w:rFonts w:cs="Angsana New"/>
      <w:sz w:val="22"/>
      <w:szCs w:val="22"/>
      <w:lang w:eastAsia="zh-CN" w:bidi="th-TH"/>
    </w:rPr>
  </w:style>
  <w:style w:type="character" w:styleId="Emphasis">
    <w:name w:val="Emphasis"/>
    <w:basedOn w:val="DefaultParagraphFont"/>
    <w:semiHidden/>
    <w:qFormat/>
    <w:rPr>
      <w:i/>
      <w:iCs/>
    </w:rPr>
  </w:style>
  <w:style w:type="character" w:styleId="EndnoteReference">
    <w:name w:val="endnote reference"/>
    <w:basedOn w:val="DefaultParagraphFont"/>
    <w:semiHidden/>
    <w:rPr>
      <w:vertAlign w:val="superscript"/>
    </w:r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4"/>
      <w:szCs w:val="24"/>
    </w:rPr>
  </w:style>
  <w:style w:type="paragraph" w:styleId="EnvelopeReturn">
    <w:name w:val="envelope return"/>
    <w:basedOn w:val="Normal"/>
    <w:semiHidden/>
    <w:rPr>
      <w:rFonts w:ascii="Arial" w:hAnsi="Arial"/>
      <w:sz w:val="20"/>
      <w:szCs w:val="20"/>
    </w:rPr>
  </w:style>
  <w:style w:type="character" w:styleId="FollowedHyperlink">
    <w:name w:val="FollowedHyperlink"/>
    <w:basedOn w:val="DefaultParagraphFont"/>
    <w:semiHidden/>
    <w:rPr>
      <w:color w:val="800080"/>
      <w:u w:val="single"/>
    </w:rPr>
  </w:style>
  <w:style w:type="character" w:styleId="FootnoteReference">
    <w:name w:val="footnote reference"/>
    <w:basedOn w:val="DefaultParagraphFont"/>
    <w:semiHidden/>
    <w:rPr>
      <w:vertAlign w:val="superscript"/>
    </w:rPr>
  </w:style>
  <w:style w:type="character" w:styleId="HTMLAcronym">
    <w:name w:val="HTML Acronym"/>
    <w:basedOn w:val="DefaultParagraphFont"/>
    <w:semiHidden/>
  </w:style>
  <w:style w:type="paragraph" w:styleId="HTMLAddress">
    <w:name w:val="HTML Address"/>
    <w:basedOn w:val="Normal"/>
    <w:link w:val="HTMLAddressChar"/>
    <w:semiHidden/>
    <w:rPr>
      <w:i/>
      <w:iCs/>
    </w:rPr>
  </w:style>
  <w:style w:type="character" w:customStyle="1" w:styleId="HTMLAddressChar">
    <w:name w:val="HTML Address Char"/>
    <w:basedOn w:val="DefaultParagraphFont"/>
    <w:link w:val="HTMLAddress"/>
    <w:semiHidden/>
    <w:rPr>
      <w:rFonts w:cs="Angsana New"/>
      <w:i/>
      <w:iCs/>
      <w:sz w:val="22"/>
      <w:szCs w:val="22"/>
      <w:lang w:eastAsia="zh-CN" w:bidi="th-TH"/>
    </w:rPr>
  </w:style>
  <w:style w:type="character" w:styleId="HTMLCite">
    <w:name w:val="HTML Cite"/>
    <w:basedOn w:val="DefaultParagraphFont"/>
    <w:semiHidden/>
    <w:rPr>
      <w:i/>
      <w:iCs/>
    </w:rPr>
  </w:style>
  <w:style w:type="character" w:styleId="HTMLCode">
    <w:name w:val="HTML Code"/>
    <w:basedOn w:val="DefaultParagraphFont"/>
    <w:semiHidden/>
    <w:rPr>
      <w:rFonts w:ascii="Courier New" w:hAnsi="Courier New"/>
      <w:sz w:val="20"/>
      <w:szCs w:val="20"/>
    </w:rPr>
  </w:style>
  <w:style w:type="character" w:styleId="HTMLDefinition">
    <w:name w:val="HTML Definition"/>
    <w:basedOn w:val="DefaultParagraphFont"/>
    <w:semiHidden/>
    <w:rPr>
      <w:i/>
      <w:iCs/>
    </w:rPr>
  </w:style>
  <w:style w:type="character" w:styleId="HTMLKeyboard">
    <w:name w:val="HTML Keyboard"/>
    <w:basedOn w:val="DefaultParagraphFont"/>
    <w:semiHidden/>
    <w:rPr>
      <w:rFonts w:ascii="Courier New" w:hAnsi="Courier New"/>
      <w:sz w:val="20"/>
      <w:szCs w:val="20"/>
    </w:rPr>
  </w:style>
  <w:style w:type="paragraph" w:styleId="HTMLPreformatted">
    <w:name w:val="HTML Preformatted"/>
    <w:basedOn w:val="Normal"/>
    <w:link w:val="HTMLPreformattedChar"/>
    <w:semiHidden/>
    <w:rPr>
      <w:rFonts w:ascii="Courier New" w:hAnsi="Courier New"/>
      <w:sz w:val="20"/>
      <w:szCs w:val="20"/>
    </w:rPr>
  </w:style>
  <w:style w:type="character" w:customStyle="1" w:styleId="HTMLPreformattedChar">
    <w:name w:val="HTML Preformatted Char"/>
    <w:basedOn w:val="DefaultParagraphFont"/>
    <w:link w:val="HTMLPreformatted"/>
    <w:semiHidden/>
    <w:rPr>
      <w:rFonts w:ascii="Courier New" w:hAnsi="Courier New" w:cs="Angsana New"/>
      <w:lang w:eastAsia="zh-CN" w:bidi="th-TH"/>
    </w:rPr>
  </w:style>
  <w:style w:type="character" w:styleId="HTMLSample">
    <w:name w:val="HTML Sample"/>
    <w:basedOn w:val="DefaultParagraphFont"/>
    <w:semiHidden/>
    <w:rPr>
      <w:rFonts w:ascii="Courier New" w:hAnsi="Courier New"/>
    </w:rPr>
  </w:style>
  <w:style w:type="character" w:styleId="HTMLTypewriter">
    <w:name w:val="HTML Typewriter"/>
    <w:basedOn w:val="DefaultParagraphFont"/>
    <w:semiHidden/>
    <w:rPr>
      <w:rFonts w:ascii="Courier New" w:hAnsi="Courier New"/>
      <w:sz w:val="20"/>
      <w:szCs w:val="20"/>
    </w:rPr>
  </w:style>
  <w:style w:type="character" w:styleId="HTMLVariable">
    <w:name w:val="HTML Variable"/>
    <w:basedOn w:val="DefaultParagraphFont"/>
    <w:semiHidden/>
    <w:rPr>
      <w:i/>
      <w:iCs/>
    </w:rPr>
  </w:style>
  <w:style w:type="character" w:styleId="Hyperlink">
    <w:name w:val="Hyperlink"/>
    <w:basedOn w:val="DefaultParagraphFont"/>
    <w:semiHidden/>
    <w:rPr>
      <w:color w:val="0000FF"/>
      <w:u w:val="single"/>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rFonts w:ascii="Arial" w:hAnsi="Arial"/>
      <w:b/>
      <w:bCs/>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2">
    <w:name w:val="List Bullet 2"/>
    <w:basedOn w:val="Normal"/>
    <w:semiHidden/>
    <w:pPr>
      <w:numPr>
        <w:numId w:val="15"/>
      </w:numPr>
    </w:pPr>
  </w:style>
  <w:style w:type="paragraph" w:styleId="ListBullet3">
    <w:name w:val="List Bullet 3"/>
    <w:basedOn w:val="Normal"/>
    <w:semiHidden/>
    <w:pPr>
      <w:numPr>
        <w:numId w:val="1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7"/>
      </w:numPr>
    </w:pPr>
  </w:style>
  <w:style w:type="paragraph" w:styleId="ListNumber2">
    <w:name w:val="List Number 2"/>
    <w:basedOn w:val="Normal"/>
    <w:semiHidden/>
    <w:pPr>
      <w:numPr>
        <w:numId w:val="18"/>
      </w:numPr>
    </w:pPr>
  </w:style>
  <w:style w:type="paragraph" w:styleId="ListNumber3">
    <w:name w:val="List Number 3"/>
    <w:basedOn w:val="Normal"/>
    <w:semiHidden/>
    <w:pPr>
      <w:numPr>
        <w:numId w:val="19"/>
      </w:numPr>
    </w:pPr>
  </w:style>
  <w:style w:type="paragraph" w:styleId="ListNumber5">
    <w:name w:val="List Number 5"/>
    <w:basedOn w:val="Normal"/>
    <w:semiHidden/>
    <w:pPr>
      <w:numPr>
        <w:numId w:val="21"/>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140" w:line="280" w:lineRule="atLeast"/>
    </w:pPr>
    <w:rPr>
      <w:rFonts w:ascii="Courier New" w:hAnsi="Courier New" w:cs="Angsana New"/>
      <w:lang w:eastAsia="zh-CN" w:bidi="th-TH"/>
    </w:rPr>
  </w:style>
  <w:style w:type="character" w:customStyle="1" w:styleId="MacroTextChar">
    <w:name w:val="Macro Text Char"/>
    <w:basedOn w:val="DefaultParagraphFont"/>
    <w:link w:val="MacroText"/>
    <w:semiHidden/>
    <w:rPr>
      <w:rFonts w:ascii="Courier New" w:hAnsi="Courier New" w:cs="Angsana New"/>
      <w:lang w:eastAsia="zh-CN" w:bidi="th-TH"/>
    </w:rPr>
  </w:style>
  <w:style w:type="paragraph" w:styleId="MessageHeader">
    <w:name w:val="Message Header"/>
    <w:basedOn w:val="Normal"/>
    <w:link w:val="MessageHeaderChar"/>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MessageHeaderChar">
    <w:name w:val="Message Header Char"/>
    <w:basedOn w:val="DefaultParagraphFont"/>
    <w:link w:val="MessageHeader"/>
    <w:semiHidden/>
    <w:rPr>
      <w:rFonts w:ascii="Arial" w:hAnsi="Arial" w:cs="Angsana New"/>
      <w:sz w:val="24"/>
      <w:szCs w:val="24"/>
      <w:shd w:val="pct20" w:color="auto" w:fill="auto"/>
      <w:lang w:eastAsia="zh-CN" w:bidi="th-TH"/>
    </w:rPr>
  </w:style>
  <w:style w:type="paragraph" w:styleId="NormalWeb">
    <w:name w:val="Normal (Web)"/>
    <w:basedOn w:val="Normal"/>
    <w:semiHidden/>
    <w:rPr>
      <w:sz w:val="24"/>
      <w:szCs w:val="24"/>
    </w:rPr>
  </w:style>
  <w:style w:type="paragraph" w:styleId="NormalIndent">
    <w:name w:val="Normal Indent"/>
    <w:basedOn w:val="Normal"/>
    <w:semiHidden/>
    <w:pPr>
      <w:ind w:left="680"/>
    </w:pPr>
  </w:style>
  <w:style w:type="paragraph" w:styleId="NoteHeading">
    <w:name w:val="Note Heading"/>
    <w:basedOn w:val="Normal"/>
    <w:next w:val="Normal"/>
    <w:link w:val="NoteHeadingChar"/>
    <w:semiHidden/>
  </w:style>
  <w:style w:type="character" w:customStyle="1" w:styleId="NoteHeadingChar">
    <w:name w:val="Note Heading Char"/>
    <w:basedOn w:val="DefaultParagraphFont"/>
    <w:link w:val="NoteHeading"/>
    <w:semiHidden/>
    <w:rPr>
      <w:rFonts w:cs="Angsana New"/>
      <w:sz w:val="22"/>
      <w:szCs w:val="22"/>
      <w:lang w:eastAsia="zh-CN" w:bidi="th-TH"/>
    </w:rPr>
  </w:style>
  <w:style w:type="paragraph" w:styleId="PlainText">
    <w:name w:val="Plain Text"/>
    <w:basedOn w:val="Normal"/>
    <w:link w:val="PlainTextChar"/>
    <w:semiHidden/>
    <w:rPr>
      <w:rFonts w:ascii="Courier New" w:hAnsi="Courier New"/>
      <w:sz w:val="20"/>
      <w:szCs w:val="20"/>
    </w:rPr>
  </w:style>
  <w:style w:type="character" w:customStyle="1" w:styleId="PlainTextChar">
    <w:name w:val="Plain Text Char"/>
    <w:basedOn w:val="DefaultParagraphFont"/>
    <w:link w:val="PlainText"/>
    <w:semiHidden/>
    <w:rPr>
      <w:rFonts w:ascii="Courier New" w:hAnsi="Courier New" w:cs="Angsana New"/>
      <w:lang w:eastAsia="zh-CN" w:bidi="th-TH"/>
    </w:rPr>
  </w:style>
  <w:style w:type="paragraph" w:styleId="Salutation">
    <w:name w:val="Salutation"/>
    <w:basedOn w:val="Normal"/>
    <w:next w:val="Normal"/>
    <w:link w:val="SalutationChar"/>
    <w:semiHidden/>
  </w:style>
  <w:style w:type="character" w:customStyle="1" w:styleId="SalutationChar">
    <w:name w:val="Salutation Char"/>
    <w:basedOn w:val="DefaultParagraphFont"/>
    <w:link w:val="Salutation"/>
    <w:semiHidden/>
    <w:rPr>
      <w:rFonts w:cs="Angsana New"/>
      <w:sz w:val="22"/>
      <w:szCs w:val="22"/>
      <w:lang w:eastAsia="zh-CN" w:bidi="th-TH"/>
    </w:rPr>
  </w:style>
  <w:style w:type="paragraph" w:styleId="Signature">
    <w:name w:val="Signature"/>
    <w:basedOn w:val="Normal"/>
    <w:link w:val="SignatureChar"/>
    <w:semiHidden/>
    <w:pPr>
      <w:ind w:left="4252"/>
    </w:pPr>
  </w:style>
  <w:style w:type="character" w:customStyle="1" w:styleId="SignatureChar">
    <w:name w:val="Signature Char"/>
    <w:basedOn w:val="DefaultParagraphFont"/>
    <w:link w:val="Signature"/>
    <w:semiHidden/>
    <w:rPr>
      <w:rFonts w:cs="Angsana New"/>
      <w:sz w:val="22"/>
      <w:szCs w:val="22"/>
      <w:lang w:eastAsia="zh-CN" w:bidi="th-TH"/>
    </w:rPr>
  </w:style>
  <w:style w:type="character" w:styleId="Strong">
    <w:name w:val="Strong"/>
    <w:basedOn w:val="DefaultParagraphFont"/>
    <w:semiHidden/>
    <w:qFormat/>
    <w:rPr>
      <w:b/>
      <w:bCs/>
    </w:rPr>
  </w:style>
  <w:style w:type="paragraph" w:styleId="Subtitle">
    <w:name w:val="Subtitle"/>
    <w:basedOn w:val="Normal"/>
    <w:link w:val="SubtitleChar"/>
    <w:semiHidden/>
    <w:qFormat/>
    <w:pPr>
      <w:spacing w:after="60"/>
      <w:jc w:val="center"/>
      <w:outlineLvl w:val="1"/>
    </w:pPr>
    <w:rPr>
      <w:rFonts w:ascii="Arial" w:hAnsi="Arial"/>
      <w:sz w:val="24"/>
      <w:szCs w:val="24"/>
    </w:rPr>
  </w:style>
  <w:style w:type="character" w:customStyle="1" w:styleId="SubtitleChar">
    <w:name w:val="Subtitle Char"/>
    <w:basedOn w:val="DefaultParagraphFont"/>
    <w:link w:val="Subtitle"/>
    <w:semiHidden/>
    <w:rPr>
      <w:rFonts w:ascii="Arial" w:hAnsi="Arial" w:cs="Angsana New"/>
      <w:sz w:val="24"/>
      <w:szCs w:val="24"/>
      <w:lang w:eastAsia="zh-CN" w:bidi="th-TH"/>
    </w:rPr>
  </w:style>
  <w:style w:type="table" w:styleId="Table3Deffects1">
    <w:name w:val="Table 3D effects 1"/>
    <w:basedOn w:val="TableNormal"/>
    <w:semiHidden/>
    <w:pPr>
      <w:spacing w:after="140" w:line="280" w:lineRule="atLeast"/>
    </w:pPr>
    <w:rPr>
      <w:rFonts w:ascii="Times New (W1)" w:hAnsi="Times New (W1)"/>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after="140" w:line="280" w:lineRule="atLeast"/>
    </w:pPr>
    <w:rPr>
      <w:rFonts w:ascii="Times New (W1)" w:hAnsi="Times New (W1)"/>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after="140" w:line="280" w:lineRule="atLeast"/>
    </w:pPr>
    <w:rPr>
      <w:rFonts w:ascii="Times New (W1)" w:hAnsi="Times New (W1)"/>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after="140" w:line="280" w:lineRule="atLeast"/>
    </w:pPr>
    <w:rPr>
      <w:rFonts w:ascii="Times New (W1)" w:hAnsi="Times New (W1)"/>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after="140" w:line="280" w:lineRule="atLeast"/>
    </w:pPr>
    <w:rPr>
      <w:rFonts w:ascii="Times New (W1)" w:hAnsi="Times New (W1)"/>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after="140" w:line="280" w:lineRule="atLeast"/>
    </w:pPr>
    <w:rPr>
      <w:rFonts w:ascii="Times New (W1)" w:hAnsi="Times New (W1)"/>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after="140" w:line="280" w:lineRule="atLeast"/>
    </w:pPr>
    <w:rPr>
      <w:rFonts w:ascii="Times New (W1)" w:hAnsi="Times New (W1)"/>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after="140" w:line="280" w:lineRule="atLeast"/>
    </w:pPr>
    <w:rPr>
      <w:rFonts w:ascii="Times New (W1)" w:hAnsi="Times New (W1)"/>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after="140" w:line="280" w:lineRule="atLeast"/>
    </w:pPr>
    <w:rPr>
      <w:rFonts w:ascii="Times New (W1)" w:hAnsi="Times New (W1)"/>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after="140" w:line="280" w:lineRule="atLeast"/>
    </w:pPr>
    <w:rPr>
      <w:rFonts w:ascii="Times New (W1)" w:hAnsi="Times New (W1)"/>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after="140" w:line="280" w:lineRule="atLeast"/>
    </w:pPr>
    <w:rPr>
      <w:rFonts w:ascii="Times New (W1)" w:hAnsi="Times New (W1)"/>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after="140" w:line="280" w:lineRule="atLeast"/>
    </w:pPr>
    <w:rPr>
      <w:rFonts w:ascii="Times New (W1)" w:hAnsi="Times New (W1)"/>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after="140" w:line="280" w:lineRule="atLeast"/>
    </w:pPr>
    <w:rPr>
      <w:rFonts w:ascii="Times New (W1)" w:hAnsi="Times New (W1)"/>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after="140" w:line="280" w:lineRule="atLeast"/>
    </w:pPr>
    <w:rPr>
      <w:rFonts w:ascii="Times New (W1)" w:hAnsi="Times New (W1)"/>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after="140" w:line="280" w:lineRule="atLeast"/>
    </w:pPr>
    <w:rPr>
      <w:rFonts w:ascii="Times New (W1)" w:hAnsi="Times New (W1)"/>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after="140" w:line="280" w:lineRule="atLeast"/>
    </w:pPr>
    <w:rPr>
      <w:rFonts w:ascii="Times New (W1)" w:hAnsi="Times New (W1)"/>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after="140" w:line="280" w:lineRule="atLeast"/>
    </w:pPr>
    <w:rPr>
      <w:rFonts w:ascii="Times New (W1)" w:hAnsi="Times New (W1)"/>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pPr>
      <w:spacing w:after="140" w:line="280" w:lineRule="atLeast"/>
    </w:pPr>
    <w:rPr>
      <w:rFonts w:ascii="Times New (W1)" w:hAnsi="Times New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pPr>
      <w:spacing w:after="140" w:line="280" w:lineRule="atLeast"/>
    </w:pPr>
    <w:rPr>
      <w:rFonts w:ascii="Times New (W1)" w:hAnsi="Times New (W1)"/>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after="140" w:line="280" w:lineRule="atLeast"/>
    </w:pPr>
    <w:rPr>
      <w:rFonts w:ascii="Times New (W1)" w:hAnsi="Times New (W1)"/>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after="140" w:line="280" w:lineRule="atLeast"/>
    </w:pPr>
    <w:rPr>
      <w:rFonts w:ascii="Times New (W1)" w:hAnsi="Times New (W1)"/>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after="140" w:line="280" w:lineRule="atLeast"/>
    </w:pPr>
    <w:rPr>
      <w:rFonts w:ascii="Times New (W1)" w:hAnsi="Times New (W1)"/>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after="140" w:line="280" w:lineRule="atLeast"/>
    </w:pPr>
    <w:rPr>
      <w:rFonts w:ascii="Times New (W1)" w:hAnsi="Times New (W1)"/>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after="140" w:line="280" w:lineRule="atLeast"/>
    </w:pPr>
    <w:rPr>
      <w:rFonts w:ascii="Times New (W1)" w:hAnsi="Times New (W1)"/>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after="140" w:line="280" w:lineRule="atLeast"/>
    </w:pPr>
    <w:rPr>
      <w:rFonts w:ascii="Times New (W1)" w:hAnsi="Times New (W1)"/>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after="140" w:line="280" w:lineRule="atLeast"/>
    </w:pPr>
    <w:rPr>
      <w:rFonts w:ascii="Times New (W1)" w:hAnsi="Times New (W1)"/>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after="140" w:line="280" w:lineRule="atLeast"/>
    </w:pPr>
    <w:rPr>
      <w:rFonts w:ascii="Times New (W1)" w:hAnsi="Times New (W1)"/>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after="140" w:line="280" w:lineRule="atLeast"/>
    </w:pPr>
    <w:rPr>
      <w:rFonts w:ascii="Times New (W1)" w:hAnsi="Times New (W1)"/>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after="140" w:line="280" w:lineRule="atLeast"/>
    </w:pPr>
    <w:rPr>
      <w:rFonts w:ascii="Times New (W1)" w:hAnsi="Times New (W1)"/>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after="140" w:line="280" w:lineRule="atLeast"/>
    </w:pPr>
    <w:rPr>
      <w:rFonts w:ascii="Times New (W1)" w:hAnsi="Times New (W1)"/>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after="140" w:line="280" w:lineRule="atLeast"/>
    </w:pPr>
    <w:rPr>
      <w:rFonts w:ascii="Times New (W1)" w:hAnsi="Times New (W1)"/>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after="140" w:line="280" w:lineRule="atLeast"/>
    </w:pPr>
    <w:rPr>
      <w:rFonts w:ascii="Times New (W1)" w:hAnsi="Times New (W1)"/>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after="140" w:line="280" w:lineRule="atLeast"/>
    </w:pPr>
    <w:rPr>
      <w:rFonts w:ascii="Times New (W1)" w:hAnsi="Times New (W1)"/>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after="140" w:line="280" w:lineRule="atLeast"/>
    </w:pPr>
    <w:rPr>
      <w:rFonts w:ascii="Times New (W1)" w:hAnsi="Times New (W1)"/>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style>
  <w:style w:type="table" w:styleId="TableProfessional">
    <w:name w:val="Table Professional"/>
    <w:basedOn w:val="TableNormal"/>
    <w:semiHidden/>
    <w:pPr>
      <w:spacing w:after="140" w:line="280" w:lineRule="atLeast"/>
    </w:pPr>
    <w:rPr>
      <w:rFonts w:ascii="Times New (W1)" w:hAnsi="Times New (W1)"/>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after="140" w:line="280" w:lineRule="atLeast"/>
    </w:pPr>
    <w:rPr>
      <w:rFonts w:ascii="Times New (W1)" w:hAnsi="Times New (W1)"/>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after="140" w:line="280" w:lineRule="atLeast"/>
    </w:pPr>
    <w:rPr>
      <w:rFonts w:ascii="Times New (W1)" w:hAnsi="Times New (W1)"/>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after="140" w:line="280" w:lineRule="atLeast"/>
    </w:pPr>
    <w:rPr>
      <w:rFonts w:ascii="Times New (W1)" w:hAnsi="Times New (W1)"/>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after="140" w:line="280" w:lineRule="atLeast"/>
    </w:pPr>
    <w:rPr>
      <w:rFonts w:ascii="Times New (W1)" w:hAnsi="Times New (W1)"/>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after="140" w:line="280" w:lineRule="atLeast"/>
    </w:pPr>
    <w:rPr>
      <w:rFonts w:ascii="Times New (W1)" w:hAnsi="Times New (W1)"/>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after="140" w:line="280" w:lineRule="atLeast"/>
    </w:pPr>
    <w:rPr>
      <w:rFonts w:ascii="Times New (W1)" w:hAnsi="Times New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after="140" w:line="280" w:lineRule="atLeast"/>
    </w:pPr>
    <w:rPr>
      <w:rFonts w:ascii="Times New (W1)" w:hAnsi="Times New (W1)"/>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after="140" w:line="280" w:lineRule="atLeast"/>
    </w:pPr>
    <w:rPr>
      <w:rFonts w:ascii="Times New (W1)" w:hAnsi="Times New (W1)"/>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after="140" w:line="280" w:lineRule="atLeast"/>
    </w:pPr>
    <w:rPr>
      <w:rFonts w:ascii="Times New (W1)" w:hAnsi="Times New (W1)"/>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semiHidden/>
    <w:qFormat/>
    <w:pPr>
      <w:spacing w:before="240" w:after="60"/>
      <w:jc w:val="center"/>
      <w:outlineLvl w:val="0"/>
    </w:pPr>
    <w:rPr>
      <w:rFonts w:ascii="Arial" w:hAnsi="Arial"/>
      <w:b/>
      <w:bCs/>
      <w:kern w:val="28"/>
      <w:sz w:val="32"/>
      <w:szCs w:val="32"/>
    </w:rPr>
  </w:style>
  <w:style w:type="character" w:customStyle="1" w:styleId="TitleChar">
    <w:name w:val="Title Char"/>
    <w:basedOn w:val="DefaultParagraphFont"/>
    <w:link w:val="Title"/>
    <w:semiHidden/>
    <w:rPr>
      <w:rFonts w:ascii="Arial" w:hAnsi="Arial" w:cs="Angsana New"/>
      <w:b/>
      <w:bCs/>
      <w:kern w:val="28"/>
      <w:sz w:val="32"/>
      <w:szCs w:val="32"/>
      <w:lang w:eastAsia="zh-CN" w:bidi="th-TH"/>
    </w:rPr>
  </w:style>
  <w:style w:type="paragraph" w:styleId="TOAHeading">
    <w:name w:val="toa heading"/>
    <w:basedOn w:val="Normal"/>
    <w:next w:val="Normal"/>
    <w:semiHidden/>
    <w:pPr>
      <w:spacing w:before="120"/>
    </w:pPr>
    <w:rPr>
      <w:rFonts w:ascii="Arial" w:hAnsi="Arial"/>
      <w:b/>
      <w:bCs/>
      <w:sz w:val="24"/>
      <w:szCs w:val="24"/>
    </w:rPr>
  </w:style>
  <w:style w:type="numbering" w:customStyle="1" w:styleId="Level">
    <w:name w:val="Level"/>
    <w:uiPriority w:val="99"/>
    <w:pPr>
      <w:numPr>
        <w:numId w:val="100"/>
      </w:numPr>
    </w:pPr>
  </w:style>
  <w:style w:type="numbering" w:customStyle="1" w:styleId="Part">
    <w:name w:val="Part"/>
    <w:uiPriority w:val="99"/>
    <w:pPr>
      <w:numPr>
        <w:numId w:val="25"/>
      </w:numPr>
    </w:pPr>
  </w:style>
  <w:style w:type="numbering" w:customStyle="1" w:styleId="Warranty">
    <w:name w:val="Warranty"/>
    <w:uiPriority w:val="99"/>
    <w:pPr>
      <w:numPr>
        <w:numId w:val="26"/>
      </w:numPr>
    </w:pPr>
  </w:style>
  <w:style w:type="numbering" w:styleId="1ai">
    <w:name w:val="Outline List 1"/>
    <w:basedOn w:val="NoList"/>
    <w:semiHidden/>
    <w:pPr>
      <w:numPr>
        <w:numId w:val="27"/>
      </w:numPr>
    </w:pPr>
  </w:style>
  <w:style w:type="paragraph" w:styleId="Bibliography">
    <w:name w:val="Bibliography"/>
    <w:basedOn w:val="Normal"/>
    <w:next w:val="Normal"/>
    <w:uiPriority w:val="37"/>
    <w:semiHidden/>
    <w:unhideWhenUsed/>
    <w:rPr>
      <w:szCs w:val="28"/>
    </w:rPr>
  </w:style>
  <w:style w:type="character" w:styleId="BookTitle">
    <w:name w:val="Book Title"/>
    <w:basedOn w:val="DefaultParagraphFont"/>
    <w:uiPriority w:val="33"/>
    <w:semiHidden/>
    <w:qFormat/>
    <w:rPr>
      <w:b/>
      <w:bCs/>
      <w:smallCaps/>
      <w:spacing w:val="5"/>
    </w:rPr>
  </w:style>
  <w:style w:type="paragraph" w:customStyle="1" w:styleId="MELegal8">
    <w:name w:val="ME Legal 8"/>
    <w:basedOn w:val="Normal"/>
    <w:semiHidden/>
    <w:unhideWhenUsed/>
    <w:qFormat/>
    <w:pPr>
      <w:numPr>
        <w:ilvl w:val="7"/>
        <w:numId w:val="35"/>
      </w:numPr>
      <w:outlineLvl w:val="7"/>
    </w:pPr>
  </w:style>
  <w:style w:type="table" w:styleId="ColorfulGrid-Accent1">
    <w:name w:val="Colorful Grid Accent 1"/>
    <w:basedOn w:val="TableNormal"/>
    <w:uiPriority w:val="73"/>
    <w:semiHidden/>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semiHidden/>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semiHidden/>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semiHidden/>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semiHidden/>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semiHidden/>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MELegal9">
    <w:name w:val="ME Legal 9"/>
    <w:basedOn w:val="Normal"/>
    <w:semiHidden/>
    <w:unhideWhenUsed/>
    <w:qFormat/>
    <w:pPr>
      <w:numPr>
        <w:ilvl w:val="8"/>
        <w:numId w:val="35"/>
      </w:numPr>
      <w:outlineLvl w:val="8"/>
    </w:pPr>
  </w:style>
  <w:style w:type="table" w:styleId="ColorfulList-Accent1">
    <w:name w:val="Colorful List Accent 1"/>
    <w:basedOn w:val="TableNormal"/>
    <w:uiPriority w:val="72"/>
    <w:semiHidden/>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semiHidden/>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semiHidden/>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semiHidden/>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semiHidden/>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semiHidden/>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customStyle="1" w:styleId="MEBasic6">
    <w:name w:val="ME Basic 6"/>
    <w:basedOn w:val="Normal"/>
    <w:uiPriority w:val="2"/>
    <w:semiHidden/>
    <w:unhideWhenUsed/>
    <w:qFormat/>
    <w:pPr>
      <w:numPr>
        <w:ilvl w:val="5"/>
        <w:numId w:val="24"/>
      </w:numPr>
      <w:outlineLvl w:val="5"/>
    </w:pPr>
  </w:style>
  <w:style w:type="table" w:styleId="ColorfulShading-Accent1">
    <w:name w:val="Colorful Shading Accent 1"/>
    <w:basedOn w:val="TableNormal"/>
    <w:uiPriority w:val="71"/>
    <w:semiHidden/>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semiHidden/>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paragraph" w:customStyle="1" w:styleId="MEBasic7">
    <w:name w:val="ME Basic 7"/>
    <w:basedOn w:val="Normal"/>
    <w:uiPriority w:val="2"/>
    <w:semiHidden/>
    <w:unhideWhenUsed/>
    <w:qFormat/>
    <w:pPr>
      <w:numPr>
        <w:ilvl w:val="6"/>
        <w:numId w:val="24"/>
      </w:numPr>
      <w:outlineLvl w:val="6"/>
    </w:pPr>
  </w:style>
  <w:style w:type="table" w:styleId="DarkList-Accent1">
    <w:name w:val="Dark List Accent 1"/>
    <w:basedOn w:val="TableNormal"/>
    <w:uiPriority w:val="70"/>
    <w:semiHidden/>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semiHidden/>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semiHidden/>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semiHidden/>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semiHidden/>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semiHidden/>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IntenseEmphasis">
    <w:name w:val="Intense Emphasis"/>
    <w:basedOn w:val="DefaultParagraphFont"/>
    <w:uiPriority w:val="21"/>
    <w:semiHidden/>
    <w:qFormat/>
    <w:rPr>
      <w:b/>
      <w:bCs/>
      <w:i/>
      <w:iCs/>
      <w:color w:val="4F81BD"/>
    </w:rPr>
  </w:style>
  <w:style w:type="paragraph" w:styleId="IntenseQuote">
    <w:name w:val="Intense Quote"/>
    <w:basedOn w:val="Normal"/>
    <w:next w:val="Normal"/>
    <w:link w:val="IntenseQuoteChar"/>
    <w:uiPriority w:val="30"/>
    <w:semiHidden/>
    <w:qFormat/>
    <w:pPr>
      <w:pBdr>
        <w:bottom w:val="single" w:sz="4" w:space="4" w:color="4F81BD"/>
      </w:pBdr>
      <w:spacing w:before="200" w:after="280"/>
      <w:ind w:left="936" w:right="936"/>
    </w:pPr>
    <w:rPr>
      <w:b/>
      <w:bCs/>
      <w:i/>
      <w:iCs/>
      <w:color w:val="4F81BD"/>
      <w:szCs w:val="28"/>
    </w:rPr>
  </w:style>
  <w:style w:type="character" w:customStyle="1" w:styleId="IntenseQuoteChar">
    <w:name w:val="Intense Quote Char"/>
    <w:basedOn w:val="DefaultParagraphFont"/>
    <w:link w:val="IntenseQuote"/>
    <w:uiPriority w:val="30"/>
    <w:rPr>
      <w:rFonts w:cs="Angsana New"/>
      <w:b/>
      <w:bCs/>
      <w:i/>
      <w:iCs/>
      <w:color w:val="4F81BD"/>
      <w:sz w:val="22"/>
      <w:szCs w:val="28"/>
      <w:lang w:eastAsia="zh-CN" w:bidi="th-TH"/>
    </w:rPr>
  </w:style>
  <w:style w:type="character" w:styleId="IntenseReference">
    <w:name w:val="Intense Reference"/>
    <w:basedOn w:val="DefaultParagraphFont"/>
    <w:uiPriority w:val="32"/>
    <w:semiHidden/>
    <w:qFormat/>
    <w:rPr>
      <w:b/>
      <w:bCs/>
      <w:smallCaps/>
      <w:color w:val="C0504D"/>
      <w:spacing w:val="5"/>
      <w:u w:val="single"/>
    </w:rPr>
  </w:style>
  <w:style w:type="paragraph" w:customStyle="1" w:styleId="MEBasic8">
    <w:name w:val="ME Basic 8"/>
    <w:basedOn w:val="Normal"/>
    <w:uiPriority w:val="2"/>
    <w:semiHidden/>
    <w:unhideWhenUsed/>
    <w:qFormat/>
    <w:pPr>
      <w:numPr>
        <w:ilvl w:val="7"/>
        <w:numId w:val="24"/>
      </w:numPr>
      <w:outlineLvl w:val="7"/>
    </w:pPr>
  </w:style>
  <w:style w:type="paragraph" w:customStyle="1" w:styleId="MEBasic9">
    <w:name w:val="ME Basic 9"/>
    <w:basedOn w:val="Normal"/>
    <w:uiPriority w:val="2"/>
    <w:semiHidden/>
    <w:unhideWhenUsed/>
    <w:qFormat/>
    <w:pPr>
      <w:numPr>
        <w:ilvl w:val="8"/>
        <w:numId w:val="24"/>
      </w:numPr>
      <w:outlineLvl w:val="8"/>
    </w:pPr>
  </w:style>
  <w:style w:type="table" w:styleId="LightGrid-Accent2">
    <w:name w:val="Light Grid Accent 2"/>
    <w:basedOn w:val="TableNormal"/>
    <w:uiPriority w:val="62"/>
    <w:semiHidden/>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semiHidden/>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semiHidden/>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semiHidden/>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DefinitionL6">
    <w:name w:val="Definition L6"/>
    <w:basedOn w:val="Normal"/>
    <w:uiPriority w:val="3"/>
    <w:semiHidden/>
    <w:unhideWhenUsed/>
    <w:qFormat/>
    <w:pPr>
      <w:numPr>
        <w:ilvl w:val="5"/>
        <w:numId w:val="45"/>
      </w:numPr>
      <w:outlineLvl w:val="5"/>
    </w:pPr>
  </w:style>
  <w:style w:type="paragraph" w:customStyle="1" w:styleId="DefinitionL7">
    <w:name w:val="Definition L7"/>
    <w:basedOn w:val="Normal"/>
    <w:uiPriority w:val="3"/>
    <w:semiHidden/>
    <w:unhideWhenUsed/>
    <w:qFormat/>
    <w:pPr>
      <w:numPr>
        <w:ilvl w:val="6"/>
        <w:numId w:val="45"/>
      </w:numPr>
      <w:outlineLvl w:val="6"/>
    </w:pPr>
  </w:style>
  <w:style w:type="table" w:styleId="LightList-Accent2">
    <w:name w:val="Light List Accent 2"/>
    <w:basedOn w:val="TableNormal"/>
    <w:uiPriority w:val="61"/>
    <w:semiHidden/>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semiHidden/>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semiHidden/>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semiHidden/>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DefinitionL8">
    <w:name w:val="Definition L8"/>
    <w:basedOn w:val="Normal"/>
    <w:uiPriority w:val="3"/>
    <w:semiHidden/>
    <w:unhideWhenUsed/>
    <w:qFormat/>
    <w:pPr>
      <w:numPr>
        <w:ilvl w:val="7"/>
        <w:numId w:val="45"/>
      </w:numPr>
      <w:outlineLvl w:val="7"/>
    </w:pPr>
  </w:style>
  <w:style w:type="paragraph" w:customStyle="1" w:styleId="DefinitionL9">
    <w:name w:val="Definition L9"/>
    <w:basedOn w:val="Normal"/>
    <w:uiPriority w:val="3"/>
    <w:semiHidden/>
    <w:unhideWhenUsed/>
    <w:qFormat/>
    <w:pPr>
      <w:numPr>
        <w:ilvl w:val="8"/>
        <w:numId w:val="45"/>
      </w:numPr>
      <w:outlineLvl w:val="8"/>
    </w:pPr>
  </w:style>
  <w:style w:type="table" w:styleId="LightShading-Accent2">
    <w:name w:val="Light Shading Accent 2"/>
    <w:basedOn w:val="TableNormal"/>
    <w:uiPriority w:val="60"/>
    <w:semiHidden/>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semiHidden/>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semiHidden/>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semiHidden/>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semiHidden/>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Level4">
    <w:name w:val="Level 4"/>
    <w:basedOn w:val="Normal"/>
    <w:uiPriority w:val="3"/>
    <w:semiHidden/>
    <w:unhideWhenUsed/>
    <w:qFormat/>
    <w:pPr>
      <w:numPr>
        <w:ilvl w:val="3"/>
        <w:numId w:val="61"/>
      </w:numPr>
      <w:outlineLvl w:val="3"/>
    </w:pPr>
  </w:style>
  <w:style w:type="table" w:styleId="MediumGrid1-Accent1">
    <w:name w:val="Medium Grid 1 Accent 1"/>
    <w:basedOn w:val="TableNormal"/>
    <w:uiPriority w:val="67"/>
    <w:semiHidden/>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semiHidden/>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semiHidden/>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semiHidden/>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semiHidden/>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semiHidden/>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paragraph" w:customStyle="1" w:styleId="Level5">
    <w:name w:val="Level 5"/>
    <w:basedOn w:val="Normal"/>
    <w:uiPriority w:val="3"/>
    <w:semiHidden/>
    <w:unhideWhenUsed/>
    <w:qFormat/>
    <w:pPr>
      <w:numPr>
        <w:ilvl w:val="4"/>
        <w:numId w:val="61"/>
      </w:numPr>
      <w:outlineLvl w:val="4"/>
    </w:pPr>
  </w:style>
  <w:style w:type="table" w:styleId="MediumGrid2-Accent1">
    <w:name w:val="Medium Grid 2 Accent 1"/>
    <w:basedOn w:val="TableNormal"/>
    <w:uiPriority w:val="68"/>
    <w:semiHidden/>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semiHidden/>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semiHidden/>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semiHidden/>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semiHidden/>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semiHidden/>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customStyle="1" w:styleId="Level6">
    <w:name w:val="Level 6"/>
    <w:basedOn w:val="Normal"/>
    <w:uiPriority w:val="3"/>
    <w:semiHidden/>
    <w:unhideWhenUsed/>
    <w:qFormat/>
    <w:pPr>
      <w:numPr>
        <w:ilvl w:val="5"/>
        <w:numId w:val="61"/>
      </w:numPr>
      <w:outlineLvl w:val="5"/>
    </w:pPr>
  </w:style>
  <w:style w:type="table" w:styleId="MediumGrid3-Accent1">
    <w:name w:val="Medium Grid 3 Accent 1"/>
    <w:basedOn w:val="TableNormal"/>
    <w:uiPriority w:val="69"/>
    <w:semiHidden/>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semiHidden/>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semiHidden/>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semiHidden/>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semiHidden/>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semiHidden/>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Level7">
    <w:name w:val="Level 7"/>
    <w:basedOn w:val="Normal"/>
    <w:uiPriority w:val="3"/>
    <w:semiHidden/>
    <w:unhideWhenUsed/>
    <w:qFormat/>
    <w:pPr>
      <w:numPr>
        <w:ilvl w:val="6"/>
        <w:numId w:val="61"/>
      </w:numPr>
      <w:outlineLvl w:val="6"/>
    </w:pPr>
  </w:style>
  <w:style w:type="paragraph" w:customStyle="1" w:styleId="Level8">
    <w:name w:val="Level 8"/>
    <w:basedOn w:val="Normal"/>
    <w:uiPriority w:val="3"/>
    <w:semiHidden/>
    <w:unhideWhenUsed/>
    <w:qFormat/>
    <w:pPr>
      <w:numPr>
        <w:ilvl w:val="7"/>
        <w:numId w:val="61"/>
      </w:numPr>
      <w:outlineLvl w:val="7"/>
    </w:pPr>
  </w:style>
  <w:style w:type="table" w:styleId="MediumList1-Accent2">
    <w:name w:val="Medium List 1 Accent 2"/>
    <w:basedOn w:val="TableNormal"/>
    <w:uiPriority w:val="65"/>
    <w:semiHidden/>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semiHidden/>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semiHidden/>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semiHidden/>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semiHidden/>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paragraph" w:customStyle="1" w:styleId="Level9">
    <w:name w:val="Level 9"/>
    <w:basedOn w:val="Normal"/>
    <w:uiPriority w:val="3"/>
    <w:semiHidden/>
    <w:unhideWhenUsed/>
    <w:qFormat/>
    <w:pPr>
      <w:numPr>
        <w:ilvl w:val="8"/>
        <w:numId w:val="61"/>
      </w:numPr>
      <w:outlineLvl w:val="8"/>
    </w:pPr>
  </w:style>
  <w:style w:type="table" w:styleId="MediumList2-Accent1">
    <w:name w:val="Medium List 2 Accent 1"/>
    <w:basedOn w:val="TableNormal"/>
    <w:uiPriority w:val="66"/>
    <w:semiHidden/>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themeColor="accent3"/>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themeColor="accent4"/>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themeColor="accent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customStyle="1" w:styleId="PartL2">
    <w:name w:val="Part L2"/>
    <w:basedOn w:val="Normal"/>
    <w:uiPriority w:val="3"/>
    <w:semiHidden/>
    <w:unhideWhenUsed/>
    <w:qFormat/>
    <w:pPr>
      <w:numPr>
        <w:ilvl w:val="1"/>
        <w:numId w:val="25"/>
      </w:numPr>
      <w:outlineLvl w:val="1"/>
    </w:pPr>
  </w:style>
  <w:style w:type="paragraph" w:customStyle="1" w:styleId="PartL3">
    <w:name w:val="Part L3"/>
    <w:basedOn w:val="Normal"/>
    <w:uiPriority w:val="3"/>
    <w:semiHidden/>
    <w:unhideWhenUsed/>
    <w:qFormat/>
    <w:pPr>
      <w:numPr>
        <w:ilvl w:val="2"/>
        <w:numId w:val="25"/>
      </w:numPr>
      <w:outlineLvl w:val="2"/>
    </w:pPr>
  </w:style>
  <w:style w:type="table" w:styleId="MediumShading1-Accent2">
    <w:name w:val="Medium Shading 1 Accent 2"/>
    <w:basedOn w:val="TableNormal"/>
    <w:uiPriority w:val="63"/>
    <w:semiHidden/>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PartL4">
    <w:name w:val="Part L4"/>
    <w:basedOn w:val="Normal"/>
    <w:uiPriority w:val="3"/>
    <w:semiHidden/>
    <w:unhideWhenUsed/>
    <w:qFormat/>
    <w:pPr>
      <w:numPr>
        <w:ilvl w:val="3"/>
        <w:numId w:val="25"/>
      </w:numPr>
      <w:outlineLvl w:val="3"/>
    </w:pPr>
  </w:style>
  <w:style w:type="paragraph" w:customStyle="1" w:styleId="PartL8">
    <w:name w:val="Part L8"/>
    <w:basedOn w:val="Normal"/>
    <w:uiPriority w:val="3"/>
    <w:semiHidden/>
    <w:unhideWhenUsed/>
    <w:qFormat/>
    <w:pPr>
      <w:numPr>
        <w:ilvl w:val="7"/>
        <w:numId w:val="25"/>
      </w:numPr>
      <w:outlineLvl w:val="7"/>
    </w:pPr>
  </w:style>
  <w:style w:type="table" w:styleId="MediumShading2-Accent2">
    <w:name w:val="Medium Shading 2 Accent 2"/>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semiHidden/>
    <w:qFormat/>
    <w:rPr>
      <w:i/>
      <w:iCs/>
      <w:color w:val="000000"/>
      <w:szCs w:val="28"/>
    </w:rPr>
  </w:style>
  <w:style w:type="character" w:customStyle="1" w:styleId="QuoteChar">
    <w:name w:val="Quote Char"/>
    <w:basedOn w:val="DefaultParagraphFont"/>
    <w:link w:val="Quote"/>
    <w:uiPriority w:val="29"/>
    <w:rPr>
      <w:rFonts w:cs="Angsana New"/>
      <w:i/>
      <w:iCs/>
      <w:color w:val="000000"/>
      <w:sz w:val="22"/>
      <w:szCs w:val="28"/>
      <w:lang w:eastAsia="zh-CN" w:bidi="th-TH"/>
    </w:rPr>
  </w:style>
  <w:style w:type="character" w:styleId="SubtleEmphasis">
    <w:name w:val="Subtle Emphasis"/>
    <w:basedOn w:val="DefaultParagraphFont"/>
    <w:uiPriority w:val="19"/>
    <w:semiHidden/>
    <w:qFormat/>
    <w:rPr>
      <w:i/>
      <w:iCs/>
      <w:color w:val="808080"/>
    </w:rPr>
  </w:style>
  <w:style w:type="character" w:styleId="SubtleReference">
    <w:name w:val="Subtle Reference"/>
    <w:basedOn w:val="DefaultParagraphFont"/>
    <w:uiPriority w:val="31"/>
    <w:semiHidden/>
    <w:qFormat/>
    <w:rPr>
      <w:smallCaps/>
      <w:color w:val="C0504D"/>
      <w:u w:val="single"/>
    </w:rPr>
  </w:style>
  <w:style w:type="paragraph" w:styleId="TOCHeading">
    <w:name w:val="TOC Heading"/>
    <w:basedOn w:val="Heading1"/>
    <w:next w:val="Normal"/>
    <w:uiPriority w:val="39"/>
    <w:semiHidden/>
    <w:unhideWhenUsed/>
    <w:qFormat/>
    <w:pPr>
      <w:numPr>
        <w:numId w:val="0"/>
      </w:numPr>
      <w:outlineLvl w:val="9"/>
    </w:pPr>
    <w:rPr>
      <w:rFonts w:ascii="Cambria" w:hAnsi="Cambria"/>
      <w:kern w:val="32"/>
      <w:sz w:val="32"/>
      <w:szCs w:val="40"/>
    </w:rPr>
  </w:style>
  <w:style w:type="paragraph" w:customStyle="1" w:styleId="AnnexureL1">
    <w:name w:val="Annexure L1"/>
    <w:basedOn w:val="Normal"/>
    <w:next w:val="Normal"/>
    <w:pPr>
      <w:numPr>
        <w:numId w:val="43"/>
      </w:numPr>
      <w:pBdr>
        <w:bottom w:val="single" w:sz="6" w:space="1" w:color="auto"/>
      </w:pBdr>
      <w:spacing w:before="140" w:after="480" w:line="480" w:lineRule="exact"/>
      <w:outlineLvl w:val="0"/>
    </w:pPr>
    <w:rPr>
      <w:rFonts w:ascii="Arial" w:hAnsi="Arial"/>
      <w:spacing w:val="-10"/>
      <w:w w:val="95"/>
      <w:sz w:val="48"/>
      <w:szCs w:val="48"/>
    </w:rPr>
  </w:style>
  <w:style w:type="paragraph" w:customStyle="1" w:styleId="AnnexureL2">
    <w:name w:val="Annexure L2"/>
    <w:basedOn w:val="Normal"/>
    <w:next w:val="Normal"/>
    <w:pPr>
      <w:keepNext/>
      <w:numPr>
        <w:ilvl w:val="1"/>
        <w:numId w:val="43"/>
      </w:numPr>
      <w:pBdr>
        <w:bottom w:val="single" w:sz="4" w:space="1" w:color="auto"/>
      </w:pBdr>
      <w:spacing w:before="280"/>
      <w:outlineLvl w:val="1"/>
    </w:pPr>
    <w:rPr>
      <w:rFonts w:ascii="Arial" w:hAnsi="Arial"/>
      <w:spacing w:val="-10"/>
      <w:w w:val="95"/>
      <w:sz w:val="32"/>
      <w:szCs w:val="32"/>
    </w:rPr>
  </w:style>
  <w:style w:type="paragraph" w:customStyle="1" w:styleId="AnnexureL3">
    <w:name w:val="Annexure L3"/>
    <w:basedOn w:val="Normal"/>
    <w:next w:val="Normal"/>
    <w:pPr>
      <w:keepNext/>
      <w:numPr>
        <w:ilvl w:val="2"/>
        <w:numId w:val="43"/>
      </w:numPr>
      <w:spacing w:before="60" w:after="60"/>
      <w:outlineLvl w:val="2"/>
    </w:pPr>
    <w:rPr>
      <w:rFonts w:ascii="Arial Bold" w:hAnsi="Arial Bold"/>
      <w:b/>
      <w:bCs/>
      <w:w w:val="95"/>
      <w:sz w:val="24"/>
      <w:szCs w:val="24"/>
    </w:rPr>
  </w:style>
  <w:style w:type="paragraph" w:customStyle="1" w:styleId="AnnexureL4">
    <w:name w:val="Annexure L4"/>
    <w:basedOn w:val="Normal"/>
    <w:next w:val="Normal"/>
    <w:pPr>
      <w:numPr>
        <w:ilvl w:val="3"/>
        <w:numId w:val="43"/>
      </w:numPr>
      <w:outlineLvl w:val="3"/>
    </w:pPr>
  </w:style>
  <w:style w:type="paragraph" w:customStyle="1" w:styleId="AnnexureL6">
    <w:name w:val="Annexure L6"/>
    <w:basedOn w:val="Normal"/>
    <w:next w:val="Normal"/>
    <w:pPr>
      <w:numPr>
        <w:ilvl w:val="5"/>
        <w:numId w:val="43"/>
      </w:numPr>
      <w:outlineLvl w:val="5"/>
    </w:pPr>
  </w:style>
  <w:style w:type="paragraph" w:customStyle="1" w:styleId="AnnexureL5">
    <w:name w:val="Annexure L5"/>
    <w:basedOn w:val="Normal"/>
    <w:next w:val="Normal"/>
    <w:pPr>
      <w:numPr>
        <w:ilvl w:val="4"/>
        <w:numId w:val="43"/>
      </w:numPr>
      <w:outlineLvl w:val="4"/>
    </w:pPr>
  </w:style>
  <w:style w:type="numbering" w:customStyle="1" w:styleId="Annexure">
    <w:name w:val="Annexure"/>
    <w:uiPriority w:val="99"/>
    <w:pPr>
      <w:numPr>
        <w:numId w:val="42"/>
      </w:numPr>
    </w:pPr>
  </w:style>
  <w:style w:type="paragraph" w:customStyle="1" w:styleId="PartL9">
    <w:name w:val="Part L9"/>
    <w:basedOn w:val="Normal"/>
    <w:uiPriority w:val="3"/>
    <w:semiHidden/>
    <w:unhideWhenUsed/>
    <w:qFormat/>
    <w:pPr>
      <w:numPr>
        <w:ilvl w:val="8"/>
        <w:numId w:val="25"/>
      </w:numPr>
      <w:outlineLvl w:val="8"/>
    </w:pPr>
  </w:style>
  <w:style w:type="paragraph" w:customStyle="1" w:styleId="ScheduleL7">
    <w:name w:val="Schedule L7"/>
    <w:basedOn w:val="Normal"/>
    <w:uiPriority w:val="3"/>
    <w:qFormat/>
    <w:pPr>
      <w:numPr>
        <w:ilvl w:val="6"/>
        <w:numId w:val="94"/>
      </w:numPr>
      <w:outlineLvl w:val="6"/>
    </w:pPr>
  </w:style>
  <w:style w:type="paragraph" w:customStyle="1" w:styleId="ScheduleL8">
    <w:name w:val="Schedule L8"/>
    <w:basedOn w:val="Normal"/>
    <w:uiPriority w:val="3"/>
    <w:semiHidden/>
    <w:unhideWhenUsed/>
    <w:qFormat/>
    <w:pPr>
      <w:numPr>
        <w:ilvl w:val="7"/>
        <w:numId w:val="94"/>
      </w:numPr>
      <w:outlineLvl w:val="7"/>
    </w:pPr>
  </w:style>
  <w:style w:type="character" w:customStyle="1" w:styleId="MELegal2Char">
    <w:name w:val="ME Legal 2 Char"/>
    <w:basedOn w:val="DefaultParagraphFont"/>
    <w:link w:val="MELegal2"/>
    <w:rPr>
      <w:rFonts w:ascii="Arial Bold" w:hAnsi="Arial Bold" w:cs="Angsana New"/>
      <w:b/>
      <w:w w:val="95"/>
      <w:sz w:val="24"/>
      <w:szCs w:val="22"/>
      <w:lang w:eastAsia="zh-CN" w:bidi="th-TH"/>
    </w:rPr>
  </w:style>
  <w:style w:type="paragraph" w:customStyle="1" w:styleId="PartL5">
    <w:name w:val="Part L5"/>
    <w:basedOn w:val="Normal"/>
    <w:uiPriority w:val="3"/>
    <w:unhideWhenUsed/>
    <w:qFormat/>
    <w:pPr>
      <w:numPr>
        <w:ilvl w:val="4"/>
        <w:numId w:val="25"/>
      </w:numPr>
      <w:outlineLvl w:val="4"/>
    </w:pPr>
  </w:style>
  <w:style w:type="paragraph" w:customStyle="1" w:styleId="PartL6">
    <w:name w:val="Part L6"/>
    <w:basedOn w:val="Normal"/>
    <w:uiPriority w:val="3"/>
    <w:unhideWhenUsed/>
    <w:qFormat/>
    <w:pPr>
      <w:numPr>
        <w:ilvl w:val="5"/>
        <w:numId w:val="25"/>
      </w:numPr>
      <w:outlineLvl w:val="5"/>
    </w:pPr>
  </w:style>
  <w:style w:type="paragraph" w:customStyle="1" w:styleId="PartL7">
    <w:name w:val="Part L7"/>
    <w:basedOn w:val="Normal"/>
    <w:uiPriority w:val="3"/>
    <w:unhideWhenUsed/>
    <w:qFormat/>
    <w:pPr>
      <w:numPr>
        <w:ilvl w:val="6"/>
        <w:numId w:val="25"/>
      </w:numPr>
      <w:outlineLvl w:val="6"/>
    </w:pPr>
  </w:style>
  <w:style w:type="paragraph" w:customStyle="1" w:styleId="ScheduleL9">
    <w:name w:val="Schedule L9"/>
    <w:basedOn w:val="Normal"/>
    <w:uiPriority w:val="3"/>
    <w:semiHidden/>
    <w:unhideWhenUsed/>
    <w:qFormat/>
    <w:pPr>
      <w:numPr>
        <w:ilvl w:val="8"/>
        <w:numId w:val="94"/>
      </w:numPr>
      <w:outlineLvl w:val="8"/>
    </w:pPr>
  </w:style>
  <w:style w:type="paragraph" w:customStyle="1" w:styleId="WarrantyL6">
    <w:name w:val="WarrantyL6"/>
    <w:basedOn w:val="Normal"/>
    <w:uiPriority w:val="3"/>
    <w:semiHidden/>
    <w:unhideWhenUsed/>
    <w:qFormat/>
    <w:pPr>
      <w:numPr>
        <w:ilvl w:val="5"/>
        <w:numId w:val="26"/>
      </w:numPr>
      <w:outlineLvl w:val="5"/>
    </w:pPr>
  </w:style>
  <w:style w:type="paragraph" w:customStyle="1" w:styleId="WarrantyL7">
    <w:name w:val="WarrantyL7"/>
    <w:basedOn w:val="Normal"/>
    <w:uiPriority w:val="3"/>
    <w:semiHidden/>
    <w:unhideWhenUsed/>
    <w:qFormat/>
    <w:pPr>
      <w:numPr>
        <w:ilvl w:val="6"/>
        <w:numId w:val="26"/>
      </w:numPr>
      <w:outlineLvl w:val="6"/>
    </w:pPr>
  </w:style>
  <w:style w:type="paragraph" w:customStyle="1" w:styleId="WarrantyL8">
    <w:name w:val="WarrantyL8"/>
    <w:basedOn w:val="Normal"/>
    <w:uiPriority w:val="3"/>
    <w:semiHidden/>
    <w:unhideWhenUsed/>
    <w:qFormat/>
    <w:pPr>
      <w:numPr>
        <w:ilvl w:val="7"/>
        <w:numId w:val="26"/>
      </w:numPr>
      <w:outlineLvl w:val="7"/>
    </w:pPr>
  </w:style>
  <w:style w:type="paragraph" w:customStyle="1" w:styleId="WarrantyL9">
    <w:name w:val="WarrantyL9"/>
    <w:basedOn w:val="Normal"/>
    <w:uiPriority w:val="3"/>
    <w:semiHidden/>
    <w:unhideWhenUsed/>
    <w:qFormat/>
    <w:pPr>
      <w:numPr>
        <w:ilvl w:val="8"/>
        <w:numId w:val="26"/>
      </w:numPr>
      <w:outlineLvl w:val="8"/>
    </w:pPr>
  </w:style>
  <w:style w:type="paragraph" w:customStyle="1" w:styleId="ItemL5">
    <w:name w:val="Item L5"/>
    <w:basedOn w:val="Normal"/>
    <w:uiPriority w:val="3"/>
    <w:semiHidden/>
    <w:unhideWhenUsed/>
    <w:qFormat/>
    <w:pPr>
      <w:numPr>
        <w:ilvl w:val="4"/>
        <w:numId w:val="91"/>
      </w:numPr>
      <w:spacing w:before="60" w:after="60"/>
      <w:outlineLvl w:val="4"/>
    </w:pPr>
  </w:style>
  <w:style w:type="paragraph" w:customStyle="1" w:styleId="ItemL6">
    <w:name w:val="Item L6"/>
    <w:basedOn w:val="Normal"/>
    <w:uiPriority w:val="3"/>
    <w:semiHidden/>
    <w:unhideWhenUsed/>
    <w:qFormat/>
    <w:pPr>
      <w:numPr>
        <w:ilvl w:val="5"/>
        <w:numId w:val="91"/>
      </w:numPr>
      <w:spacing w:before="60" w:after="60"/>
      <w:outlineLvl w:val="5"/>
    </w:pPr>
  </w:style>
  <w:style w:type="paragraph" w:customStyle="1" w:styleId="MENoIndent1">
    <w:name w:val="ME NoIndent 1"/>
    <w:basedOn w:val="Normal"/>
    <w:next w:val="Normal"/>
    <w:pPr>
      <w:numPr>
        <w:ilvl w:val="3"/>
        <w:numId w:val="50"/>
      </w:numPr>
      <w:tabs>
        <w:tab w:val="clear" w:pos="2552"/>
      </w:tabs>
      <w:spacing w:after="0" w:line="240" w:lineRule="auto"/>
      <w:ind w:left="0" w:firstLine="0"/>
    </w:pPr>
    <w:rPr>
      <w:rFonts w:cs="Times New Roman"/>
      <w:sz w:val="24"/>
      <w:szCs w:val="20"/>
      <w:lang w:bidi="ar-SA"/>
    </w:rPr>
  </w:style>
  <w:style w:type="paragraph" w:customStyle="1" w:styleId="MENoIndent2">
    <w:name w:val="ME NoIndent 2"/>
    <w:basedOn w:val="MENoIndent1"/>
    <w:next w:val="Normal"/>
    <w:pPr>
      <w:numPr>
        <w:ilvl w:val="4"/>
      </w:numPr>
      <w:tabs>
        <w:tab w:val="clear" w:pos="3402"/>
        <w:tab w:val="num" w:pos="851"/>
      </w:tabs>
      <w:ind w:left="851" w:hanging="851"/>
    </w:pPr>
  </w:style>
  <w:style w:type="paragraph" w:customStyle="1" w:styleId="MENoIndent3">
    <w:name w:val="ME NoIndent 3"/>
    <w:basedOn w:val="Normal"/>
    <w:next w:val="Normal"/>
    <w:pPr>
      <w:numPr>
        <w:ilvl w:val="5"/>
        <w:numId w:val="50"/>
      </w:numPr>
      <w:tabs>
        <w:tab w:val="clear" w:pos="4253"/>
      </w:tabs>
      <w:spacing w:after="0" w:line="240" w:lineRule="auto"/>
      <w:ind w:left="0" w:firstLine="0"/>
    </w:pPr>
    <w:rPr>
      <w:rFonts w:cs="Times New Roman"/>
      <w:sz w:val="24"/>
      <w:szCs w:val="20"/>
      <w:lang w:bidi="ar-SA"/>
    </w:rPr>
  </w:style>
  <w:style w:type="paragraph" w:customStyle="1" w:styleId="MENoIndent4">
    <w:name w:val="ME NoIndent 4"/>
    <w:basedOn w:val="Normal"/>
    <w:next w:val="Normal"/>
    <w:pPr>
      <w:numPr>
        <w:ilvl w:val="6"/>
        <w:numId w:val="50"/>
      </w:numPr>
      <w:tabs>
        <w:tab w:val="clear" w:pos="5103"/>
      </w:tabs>
      <w:spacing w:after="0" w:line="240" w:lineRule="auto"/>
      <w:ind w:left="0" w:firstLine="0"/>
    </w:pPr>
    <w:rPr>
      <w:rFonts w:cs="Times New Roman"/>
      <w:sz w:val="24"/>
      <w:szCs w:val="20"/>
      <w:lang w:bidi="ar-SA"/>
    </w:rPr>
  </w:style>
  <w:style w:type="paragraph" w:customStyle="1" w:styleId="MENoIndent5">
    <w:name w:val="ME NoIndent 5"/>
    <w:basedOn w:val="Normal"/>
    <w:next w:val="Normal"/>
    <w:pPr>
      <w:numPr>
        <w:numId w:val="51"/>
      </w:numPr>
      <w:spacing w:after="0" w:line="240" w:lineRule="auto"/>
    </w:pPr>
    <w:rPr>
      <w:rFonts w:cs="Times New Roman"/>
      <w:sz w:val="24"/>
      <w:szCs w:val="20"/>
      <w:lang w:bidi="ar-SA"/>
    </w:rPr>
  </w:style>
  <w:style w:type="paragraph" w:customStyle="1" w:styleId="MENoIndent6">
    <w:name w:val="ME NoIndent 6"/>
    <w:basedOn w:val="Normal"/>
    <w:next w:val="Normal"/>
    <w:pPr>
      <w:numPr>
        <w:ilvl w:val="1"/>
        <w:numId w:val="51"/>
      </w:numPr>
      <w:spacing w:after="0" w:line="240" w:lineRule="auto"/>
    </w:pPr>
    <w:rPr>
      <w:rFonts w:cs="Times New Roman"/>
      <w:sz w:val="24"/>
      <w:szCs w:val="20"/>
      <w:lang w:bidi="ar-SA"/>
    </w:rPr>
  </w:style>
  <w:style w:type="paragraph" w:customStyle="1" w:styleId="Bullet2">
    <w:name w:val="Bullet 2"/>
    <w:basedOn w:val="Normal"/>
    <w:pPr>
      <w:tabs>
        <w:tab w:val="num" w:pos="1418"/>
      </w:tabs>
      <w:spacing w:before="100" w:after="0" w:line="312" w:lineRule="auto"/>
      <w:ind w:left="1418" w:hanging="709"/>
    </w:pPr>
    <w:rPr>
      <w:rFonts w:ascii="Arial" w:hAnsi="Arial" w:cs="Times New Roman"/>
      <w:sz w:val="20"/>
      <w:szCs w:val="20"/>
      <w:lang w:bidi="ar-SA"/>
    </w:rPr>
  </w:style>
  <w:style w:type="paragraph" w:customStyle="1" w:styleId="ItemL7">
    <w:name w:val="Item L7"/>
    <w:basedOn w:val="Normal"/>
    <w:uiPriority w:val="3"/>
    <w:semiHidden/>
    <w:unhideWhenUsed/>
    <w:qFormat/>
    <w:pPr>
      <w:numPr>
        <w:ilvl w:val="6"/>
        <w:numId w:val="91"/>
      </w:numPr>
      <w:spacing w:before="60" w:after="60"/>
      <w:outlineLvl w:val="6"/>
    </w:pPr>
  </w:style>
  <w:style w:type="paragraph" w:customStyle="1" w:styleId="ItemL8">
    <w:name w:val="Item L8"/>
    <w:basedOn w:val="Normal"/>
    <w:uiPriority w:val="3"/>
    <w:semiHidden/>
    <w:unhideWhenUsed/>
    <w:qFormat/>
    <w:pPr>
      <w:numPr>
        <w:ilvl w:val="7"/>
        <w:numId w:val="91"/>
      </w:numPr>
      <w:spacing w:before="60" w:after="60"/>
      <w:outlineLvl w:val="7"/>
    </w:pPr>
  </w:style>
  <w:style w:type="paragraph" w:customStyle="1" w:styleId="Bullet1">
    <w:name w:val="Bullet 1"/>
    <w:basedOn w:val="Normal"/>
    <w:pPr>
      <w:numPr>
        <w:numId w:val="52"/>
      </w:numPr>
      <w:tabs>
        <w:tab w:val="clear" w:pos="1418"/>
        <w:tab w:val="num" w:pos="709"/>
      </w:tabs>
      <w:spacing w:before="100" w:after="0" w:line="312" w:lineRule="auto"/>
      <w:ind w:left="709"/>
    </w:pPr>
    <w:rPr>
      <w:rFonts w:ascii="Arial" w:hAnsi="Arial" w:cs="Times New Roman"/>
      <w:sz w:val="20"/>
      <w:szCs w:val="20"/>
      <w:lang w:eastAsia="en-US" w:bidi="ar-SA"/>
    </w:rPr>
  </w:style>
  <w:style w:type="paragraph" w:customStyle="1" w:styleId="Bullet3">
    <w:name w:val="Bullet 3"/>
    <w:basedOn w:val="Normal"/>
    <w:pPr>
      <w:numPr>
        <w:numId w:val="54"/>
      </w:numPr>
      <w:spacing w:before="100" w:after="0" w:line="312" w:lineRule="auto"/>
    </w:pPr>
    <w:rPr>
      <w:rFonts w:ascii="Arial" w:hAnsi="Arial" w:cs="Times New Roman"/>
      <w:sz w:val="20"/>
      <w:szCs w:val="20"/>
      <w:lang w:eastAsia="en-US" w:bidi="ar-SA"/>
    </w:rPr>
  </w:style>
  <w:style w:type="paragraph" w:customStyle="1" w:styleId="ItemL9">
    <w:name w:val="Item L9"/>
    <w:basedOn w:val="Normal"/>
    <w:uiPriority w:val="3"/>
    <w:semiHidden/>
    <w:unhideWhenUsed/>
    <w:qFormat/>
    <w:pPr>
      <w:numPr>
        <w:ilvl w:val="8"/>
        <w:numId w:val="91"/>
      </w:numPr>
      <w:spacing w:before="60" w:after="60"/>
    </w:pPr>
  </w:style>
  <w:style w:type="paragraph" w:customStyle="1" w:styleId="ItemText">
    <w:name w:val="Item Text"/>
    <w:basedOn w:val="Normal"/>
    <w:uiPriority w:val="3"/>
    <w:qFormat/>
    <w:pPr>
      <w:spacing w:before="60" w:after="60"/>
    </w:pPr>
  </w:style>
  <w:style w:type="paragraph" w:customStyle="1" w:styleId="DefinitionL4">
    <w:name w:val="Definition L4"/>
    <w:basedOn w:val="Normal"/>
    <w:uiPriority w:val="3"/>
    <w:qFormat/>
    <w:pPr>
      <w:numPr>
        <w:ilvl w:val="3"/>
        <w:numId w:val="45"/>
      </w:numPr>
      <w:outlineLvl w:val="3"/>
    </w:pPr>
  </w:style>
  <w:style w:type="paragraph" w:customStyle="1" w:styleId="DefinitionL5">
    <w:name w:val="Definition L5"/>
    <w:basedOn w:val="Normal"/>
    <w:uiPriority w:val="3"/>
    <w:qFormat/>
    <w:pPr>
      <w:numPr>
        <w:ilvl w:val="4"/>
        <w:numId w:val="45"/>
      </w:numPr>
      <w:outlineLvl w:val="4"/>
    </w:pPr>
  </w:style>
  <w:style w:type="table" w:customStyle="1" w:styleId="ColorfulGrid1">
    <w:name w:val="Colorful Grid1"/>
    <w:basedOn w:val="TableNormal"/>
    <w:uiPriority w:val="73"/>
    <w:semiHidden/>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
    <w:name w:val="Colorful List1"/>
    <w:basedOn w:val="TableNormal"/>
    <w:uiPriority w:val="72"/>
    <w:semiHidden/>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
    <w:name w:val="Colorful Shading1"/>
    <w:basedOn w:val="TableNormal"/>
    <w:uiPriority w:val="71"/>
    <w:semiHidden/>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70"/>
    <w:semiHidden/>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
    <w:name w:val="Light Grid1"/>
    <w:basedOn w:val="TableNormal"/>
    <w:uiPriority w:val="62"/>
    <w:semiHidden/>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semiHidden/>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
    <w:name w:val="Light List1"/>
    <w:basedOn w:val="TableNormal"/>
    <w:uiPriority w:val="61"/>
    <w:semiHidden/>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semiHidden/>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
    <w:name w:val="Light Shading1"/>
    <w:basedOn w:val="TableNormal"/>
    <w:uiPriority w:val="60"/>
    <w:semiHidden/>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semiHidden/>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
    <w:name w:val="Medium Grid 11"/>
    <w:basedOn w:val="TableNormal"/>
    <w:uiPriority w:val="67"/>
    <w:semiHidden/>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
    <w:name w:val="Medium Grid 21"/>
    <w:basedOn w:val="TableNormal"/>
    <w:uiPriority w:val="68"/>
    <w:semiHidden/>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semiHidden/>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
    <w:name w:val="Medium List 11"/>
    <w:basedOn w:val="TableNormal"/>
    <w:uiPriority w:val="65"/>
    <w:semiHidden/>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semiHidden/>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
    <w:name w:val="Medium List 21"/>
    <w:basedOn w:val="TableNormal"/>
    <w:uiPriority w:val="66"/>
    <w:semiHidden/>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semiHidden/>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semiHidden/>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semiHidden/>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645715">
      <w:bodyDiv w:val="1"/>
      <w:marLeft w:val="0"/>
      <w:marRight w:val="0"/>
      <w:marTop w:val="0"/>
      <w:marBottom w:val="0"/>
      <w:divBdr>
        <w:top w:val="none" w:sz="0" w:space="0" w:color="auto"/>
        <w:left w:val="none" w:sz="0" w:space="0" w:color="auto"/>
        <w:bottom w:val="none" w:sz="0" w:space="0" w:color="auto"/>
        <w:right w:val="none" w:sz="0" w:space="0" w:color="auto"/>
      </w:divBdr>
    </w:div>
    <w:div w:id="263920409">
      <w:bodyDiv w:val="1"/>
      <w:marLeft w:val="0"/>
      <w:marRight w:val="0"/>
      <w:marTop w:val="0"/>
      <w:marBottom w:val="0"/>
      <w:divBdr>
        <w:top w:val="none" w:sz="0" w:space="0" w:color="auto"/>
        <w:left w:val="none" w:sz="0" w:space="0" w:color="auto"/>
        <w:bottom w:val="none" w:sz="0" w:space="0" w:color="auto"/>
        <w:right w:val="none" w:sz="0" w:space="0" w:color="auto"/>
      </w:divBdr>
    </w:div>
    <w:div w:id="369494549">
      <w:bodyDiv w:val="1"/>
      <w:marLeft w:val="0"/>
      <w:marRight w:val="0"/>
      <w:marTop w:val="0"/>
      <w:marBottom w:val="0"/>
      <w:divBdr>
        <w:top w:val="none" w:sz="0" w:space="0" w:color="auto"/>
        <w:left w:val="none" w:sz="0" w:space="0" w:color="auto"/>
        <w:bottom w:val="none" w:sz="0" w:space="0" w:color="auto"/>
        <w:right w:val="none" w:sz="0" w:space="0" w:color="auto"/>
      </w:divBdr>
    </w:div>
    <w:div w:id="933703730">
      <w:bodyDiv w:val="1"/>
      <w:marLeft w:val="0"/>
      <w:marRight w:val="0"/>
      <w:marTop w:val="0"/>
      <w:marBottom w:val="0"/>
      <w:divBdr>
        <w:top w:val="none" w:sz="0" w:space="0" w:color="auto"/>
        <w:left w:val="none" w:sz="0" w:space="0" w:color="auto"/>
        <w:bottom w:val="none" w:sz="0" w:space="0" w:color="auto"/>
        <w:right w:val="none" w:sz="0" w:space="0" w:color="auto"/>
      </w:divBdr>
    </w:div>
    <w:div w:id="1241059834">
      <w:bodyDiv w:val="1"/>
      <w:marLeft w:val="0"/>
      <w:marRight w:val="0"/>
      <w:marTop w:val="0"/>
      <w:marBottom w:val="0"/>
      <w:divBdr>
        <w:top w:val="none" w:sz="0" w:space="0" w:color="auto"/>
        <w:left w:val="none" w:sz="0" w:space="0" w:color="auto"/>
        <w:bottom w:val="none" w:sz="0" w:space="0" w:color="auto"/>
        <w:right w:val="none" w:sz="0" w:space="0" w:color="auto"/>
      </w:divBdr>
    </w:div>
    <w:div w:id="1483543887">
      <w:bodyDiv w:val="1"/>
      <w:marLeft w:val="0"/>
      <w:marRight w:val="0"/>
      <w:marTop w:val="0"/>
      <w:marBottom w:val="0"/>
      <w:divBdr>
        <w:top w:val="none" w:sz="0" w:space="0" w:color="auto"/>
        <w:left w:val="none" w:sz="0" w:space="0" w:color="auto"/>
        <w:bottom w:val="none" w:sz="0" w:space="0" w:color="auto"/>
        <w:right w:val="none" w:sz="0" w:space="0" w:color="auto"/>
      </w:divBdr>
    </w:div>
    <w:div w:id="196380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9.xml"/><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wmf"/><Relationship Id="rId20" Type="http://schemas.openxmlformats.org/officeDocument/2006/relationships/footer" Target="footer6.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5.emf"/><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footer" Target="footer10.xml"/><Relationship Id="rId30"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meoffice07\template\Agreed.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2AAB62-7B0A-4E94-8A21-0F38FC93D5C7}">
  <ds:schemaRefs>
    <ds:schemaRef ds:uri="http://schemas.openxmlformats.org/officeDocument/2006/bibliography"/>
  </ds:schemaRefs>
</ds:datastoreItem>
</file>

<file path=customXml/itemProps2.xml><?xml version="1.0" encoding="utf-8"?>
<ds:datastoreItem xmlns:ds="http://schemas.openxmlformats.org/officeDocument/2006/customXml" ds:itemID="{68135A4D-4488-4E7B-9879-1EDA5EF4F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Agreed.dotm</Template>
  <TotalTime>0</TotalTime>
  <Pages>60</Pages>
  <Words>18658</Words>
  <Characters>91614</Characters>
  <Application>Microsoft Office Word</Application>
  <DocSecurity>0</DocSecurity>
  <Lines>2181</Lines>
  <Paragraphs>1395</Paragraphs>
  <ScaleCrop>false</ScaleCrop>
  <HeadingPairs>
    <vt:vector size="2" baseType="variant">
      <vt:variant>
        <vt:lpstr>Title</vt:lpstr>
      </vt:variant>
      <vt:variant>
        <vt:i4>1</vt:i4>
      </vt:variant>
    </vt:vector>
  </HeadingPairs>
  <TitlesOfParts>
    <vt:vector size="1" baseType="lpstr">
      <vt:lpstr>Draft 1</vt:lpstr>
    </vt:vector>
  </TitlesOfParts>
  <Company>Minter Ellison</Company>
  <LinksUpToDate>false</LinksUpToDate>
  <CharactersWithSpaces>108877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1</dc:title>
  <dc:creator>Minter Ellison</dc:creator>
  <cp:lastModifiedBy>Yael Furstenberg</cp:lastModifiedBy>
  <cp:revision>2</cp:revision>
  <cp:lastPrinted>2015-02-16T06:21:00Z</cp:lastPrinted>
  <dcterms:created xsi:type="dcterms:W3CDTF">2015-02-24T05:53:00Z</dcterms:created>
  <dcterms:modified xsi:type="dcterms:W3CDTF">2015-02-24T05:53:00Z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ID">
    <vt:lpwstr>ME_116675713_6 (W2007)</vt:lpwstr>
  </property>
  <property fmtid="{D5CDD505-2E9C-101B-9397-08002B2CF9AE}" pid="3" name="FooterType">
    <vt:lpwstr>1</vt:lpwstr>
  </property>
  <property fmtid="{D5CDD505-2E9C-101B-9397-08002B2CF9AE}" pid="4" name="SelectedNumberingScheme">
    <vt:lpwstr>c:\ProgramData\Esquire Innovations\iHyperstyles\SchemesGlobal\Agreement Scheme.docx</vt:lpwstr>
  </property>
  <property fmtid="{D5CDD505-2E9C-101B-9397-08002B2CF9AE}" pid="5" name="TitusGUID">
    <vt:lpwstr>733c8f84-c052-4e23-b622-db6b5477b99a</vt:lpwstr>
  </property>
  <property fmtid="{D5CDD505-2E9C-101B-9397-08002B2CF9AE}" pid="6" name="DSDBI ClassificationCLASSIFICATION">
    <vt:lpwstr>UNCLASSIFIED</vt:lpwstr>
  </property>
  <property fmtid="{D5CDD505-2E9C-101B-9397-08002B2CF9AE}" pid="7" name="DSDBI ClassificationDLM FOR SEC-MARKINGS">
    <vt:lpwstr>NONE</vt:lpwstr>
  </property>
  <property fmtid="{D5CDD505-2E9C-101B-9397-08002B2CF9AE}" pid="8" name="Classification">
    <vt:lpwstr>UNCLASSIFIED
NONE
Yael Furstenberg</vt:lpwstr>
  </property>
</Properties>
</file>